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1D3316" w:rsidRDefault="001D3316">
      <w:pPr>
        <w:pStyle w:val="Normal1"/>
        <w:widowControl w:val="0"/>
        <w:spacing w:before="0" w:line="276" w:lineRule="auto"/>
      </w:pPr>
    </w:p>
    <w:tbl>
      <w:tblPr>
        <w:tblStyle w:val="a"/>
        <w:tblW w:w="10031" w:type="dxa"/>
        <w:tblInd w:w="-115" w:type="dxa"/>
        <w:tblLayout w:type="fixed"/>
        <w:tblLook w:val="0000" w:firstRow="0" w:lastRow="0" w:firstColumn="0" w:lastColumn="0" w:noHBand="0" w:noVBand="0"/>
      </w:tblPr>
      <w:tblGrid>
        <w:gridCol w:w="6487"/>
        <w:gridCol w:w="3544"/>
      </w:tblGrid>
      <w:tr w:rsidR="001D3316">
        <w:tc>
          <w:tcPr>
            <w:tcW w:w="6487" w:type="dxa"/>
          </w:tcPr>
          <w:p w:rsidR="001D3316" w:rsidRDefault="00665980">
            <w:pPr>
              <w:pStyle w:val="Normal1"/>
              <w:spacing w:before="360" w:after="48"/>
            </w:pPr>
            <w:bookmarkStart w:id="0" w:name="h.gjdgxs" w:colFirst="0" w:colLast="0"/>
            <w:bookmarkEnd w:id="0"/>
            <w:r>
              <w:rPr>
                <w:b/>
                <w:sz w:val="50"/>
                <w:szCs w:val="50"/>
                <w:vertAlign w:val="superscript"/>
              </w:rPr>
              <w:t>Council Working Group on international</w:t>
            </w:r>
            <w:r>
              <w:rPr>
                <w:b/>
                <w:sz w:val="50"/>
                <w:szCs w:val="50"/>
                <w:vertAlign w:val="superscript"/>
              </w:rPr>
              <w:br/>
              <w:t>Internet-related public policy issues</w:t>
            </w:r>
          </w:p>
        </w:tc>
        <w:tc>
          <w:tcPr>
            <w:tcW w:w="3544" w:type="dxa"/>
          </w:tcPr>
          <w:p w:rsidR="001D3316" w:rsidRDefault="00665980">
            <w:pPr>
              <w:pStyle w:val="Normal1"/>
              <w:spacing w:before="0"/>
            </w:pPr>
            <w:bookmarkStart w:id="1" w:name="h.30j0zll" w:colFirst="0" w:colLast="0"/>
            <w:bookmarkEnd w:id="1"/>
            <w:r>
              <w:rPr>
                <w:noProof/>
                <w:lang w:val="en-US"/>
              </w:rPr>
              <w:drawing>
                <wp:inline distT="0" distB="0" distL="0" distR="0">
                  <wp:extent cx="1760220" cy="746760"/>
                  <wp:effectExtent l="0" t="0" r="0" b="0"/>
                  <wp:docPr id="1" name="image01.png"/>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12"/>
                          <a:srcRect/>
                          <a:stretch>
                            <a:fillRect/>
                          </a:stretch>
                        </pic:blipFill>
                        <pic:spPr>
                          <a:xfrm>
                            <a:off x="0" y="0"/>
                            <a:ext cx="1760220" cy="746760"/>
                          </a:xfrm>
                          <a:prstGeom prst="rect">
                            <a:avLst/>
                          </a:prstGeom>
                          <a:ln/>
                        </pic:spPr>
                      </pic:pic>
                    </a:graphicData>
                  </a:graphic>
                </wp:inline>
              </w:drawing>
            </w:r>
          </w:p>
        </w:tc>
      </w:tr>
      <w:tr w:rsidR="001D3316">
        <w:tc>
          <w:tcPr>
            <w:tcW w:w="6487" w:type="dxa"/>
            <w:tcBorders>
              <w:bottom w:val="single" w:sz="12" w:space="0" w:color="000000"/>
            </w:tcBorders>
          </w:tcPr>
          <w:p w:rsidR="001D3316" w:rsidRDefault="00E53B4B">
            <w:pPr>
              <w:pStyle w:val="Normal1"/>
              <w:spacing w:before="0"/>
            </w:pPr>
            <w:r>
              <w:rPr>
                <w:b/>
              </w:rPr>
              <w:t>Eig</w:t>
            </w:r>
            <w:r w:rsidR="002D3A64">
              <w:rPr>
                <w:b/>
              </w:rPr>
              <w:t>h</w:t>
            </w:r>
            <w:r>
              <w:rPr>
                <w:b/>
              </w:rPr>
              <w:t>th</w:t>
            </w:r>
            <w:r w:rsidR="00665980">
              <w:rPr>
                <w:b/>
              </w:rPr>
              <w:t xml:space="preserve"> meeting – Geneva, </w:t>
            </w:r>
            <w:r>
              <w:rPr>
                <w:b/>
              </w:rPr>
              <w:t>13-14 October 2016</w:t>
            </w:r>
            <w:r w:rsidR="00665980">
              <w:rPr>
                <w:b/>
              </w:rPr>
              <w:t xml:space="preserve"> </w:t>
            </w:r>
          </w:p>
        </w:tc>
        <w:tc>
          <w:tcPr>
            <w:tcW w:w="3544" w:type="dxa"/>
            <w:tcBorders>
              <w:bottom w:val="single" w:sz="12" w:space="0" w:color="000000"/>
            </w:tcBorders>
          </w:tcPr>
          <w:p w:rsidR="001D3316" w:rsidRDefault="001D3316">
            <w:pPr>
              <w:pStyle w:val="Normal1"/>
              <w:spacing w:before="0"/>
            </w:pPr>
          </w:p>
        </w:tc>
      </w:tr>
      <w:tr w:rsidR="001D3316">
        <w:tc>
          <w:tcPr>
            <w:tcW w:w="6487" w:type="dxa"/>
            <w:tcBorders>
              <w:top w:val="single" w:sz="12" w:space="0" w:color="000000"/>
            </w:tcBorders>
          </w:tcPr>
          <w:p w:rsidR="001D3316" w:rsidRDefault="001D3316">
            <w:pPr>
              <w:pStyle w:val="Normal1"/>
              <w:spacing w:before="0"/>
            </w:pPr>
          </w:p>
        </w:tc>
        <w:tc>
          <w:tcPr>
            <w:tcW w:w="3544" w:type="dxa"/>
            <w:tcBorders>
              <w:top w:val="single" w:sz="12" w:space="0" w:color="000000"/>
            </w:tcBorders>
          </w:tcPr>
          <w:p w:rsidR="001D3316" w:rsidRDefault="001D3316">
            <w:pPr>
              <w:pStyle w:val="Normal1"/>
              <w:spacing w:before="0"/>
            </w:pPr>
          </w:p>
        </w:tc>
      </w:tr>
      <w:tr w:rsidR="001D3316">
        <w:trPr>
          <w:trHeight w:val="20"/>
        </w:trPr>
        <w:tc>
          <w:tcPr>
            <w:tcW w:w="6487" w:type="dxa"/>
            <w:vMerge w:val="restart"/>
          </w:tcPr>
          <w:p w:rsidR="001D3316" w:rsidRDefault="001D3316">
            <w:pPr>
              <w:pStyle w:val="Normal1"/>
              <w:tabs>
                <w:tab w:val="left" w:pos="851"/>
              </w:tabs>
              <w:spacing w:before="0"/>
            </w:pPr>
          </w:p>
        </w:tc>
        <w:tc>
          <w:tcPr>
            <w:tcW w:w="3544" w:type="dxa"/>
          </w:tcPr>
          <w:p w:rsidR="001D3316" w:rsidRDefault="00665980" w:rsidP="00770E27">
            <w:pPr>
              <w:pStyle w:val="Normal1"/>
              <w:tabs>
                <w:tab w:val="left" w:pos="851"/>
              </w:tabs>
            </w:pPr>
            <w:r>
              <w:rPr>
                <w:b/>
              </w:rPr>
              <w:t xml:space="preserve">Document </w:t>
            </w:r>
            <w:r w:rsidR="00770E27">
              <w:rPr>
                <w:b/>
              </w:rPr>
              <w:t>XX</w:t>
            </w:r>
          </w:p>
        </w:tc>
      </w:tr>
      <w:tr w:rsidR="001D3316">
        <w:trPr>
          <w:trHeight w:val="20"/>
        </w:trPr>
        <w:tc>
          <w:tcPr>
            <w:tcW w:w="6487" w:type="dxa"/>
            <w:vMerge/>
          </w:tcPr>
          <w:p w:rsidR="001D3316" w:rsidRDefault="001D3316">
            <w:pPr>
              <w:pStyle w:val="Normal1"/>
              <w:tabs>
                <w:tab w:val="left" w:pos="851"/>
              </w:tabs>
            </w:pPr>
          </w:p>
        </w:tc>
        <w:tc>
          <w:tcPr>
            <w:tcW w:w="3544" w:type="dxa"/>
          </w:tcPr>
          <w:p w:rsidR="001D3316" w:rsidRDefault="00E53B4B" w:rsidP="009F065B">
            <w:pPr>
              <w:pStyle w:val="Normal1"/>
              <w:tabs>
                <w:tab w:val="left" w:pos="993"/>
              </w:tabs>
              <w:spacing w:before="0"/>
            </w:pPr>
            <w:r>
              <w:rPr>
                <w:b/>
              </w:rPr>
              <w:t>2</w:t>
            </w:r>
            <w:r w:rsidR="009F065B">
              <w:rPr>
                <w:b/>
              </w:rPr>
              <w:t>2</w:t>
            </w:r>
            <w:r>
              <w:rPr>
                <w:b/>
              </w:rPr>
              <w:t xml:space="preserve"> </w:t>
            </w:r>
            <w:r w:rsidR="009F065B">
              <w:rPr>
                <w:b/>
              </w:rPr>
              <w:t>September</w:t>
            </w:r>
            <w:r>
              <w:rPr>
                <w:b/>
              </w:rPr>
              <w:t xml:space="preserve"> 2016</w:t>
            </w:r>
          </w:p>
        </w:tc>
      </w:tr>
      <w:tr w:rsidR="001D3316">
        <w:trPr>
          <w:trHeight w:val="20"/>
        </w:trPr>
        <w:tc>
          <w:tcPr>
            <w:tcW w:w="6487" w:type="dxa"/>
            <w:vMerge/>
          </w:tcPr>
          <w:p w:rsidR="001D3316" w:rsidRDefault="001D3316">
            <w:pPr>
              <w:pStyle w:val="Normal1"/>
              <w:tabs>
                <w:tab w:val="left" w:pos="851"/>
              </w:tabs>
            </w:pPr>
          </w:p>
        </w:tc>
        <w:tc>
          <w:tcPr>
            <w:tcW w:w="3544" w:type="dxa"/>
          </w:tcPr>
          <w:p w:rsidR="001D3316" w:rsidRDefault="00665980">
            <w:pPr>
              <w:pStyle w:val="Normal1"/>
              <w:tabs>
                <w:tab w:val="left" w:pos="993"/>
              </w:tabs>
              <w:spacing w:before="0"/>
            </w:pPr>
            <w:r>
              <w:rPr>
                <w:b/>
              </w:rPr>
              <w:t>English only</w:t>
            </w:r>
          </w:p>
        </w:tc>
      </w:tr>
      <w:tr w:rsidR="001D3316">
        <w:trPr>
          <w:trHeight w:val="20"/>
        </w:trPr>
        <w:tc>
          <w:tcPr>
            <w:tcW w:w="10031" w:type="dxa"/>
            <w:gridSpan w:val="2"/>
          </w:tcPr>
          <w:p w:rsidR="001D3316" w:rsidRDefault="00665980" w:rsidP="009F065B">
            <w:pPr>
              <w:pStyle w:val="Normal1"/>
              <w:spacing w:before="840"/>
              <w:jc w:val="center"/>
            </w:pPr>
            <w:r>
              <w:rPr>
                <w:b/>
                <w:sz w:val="28"/>
                <w:szCs w:val="28"/>
              </w:rPr>
              <w:t xml:space="preserve">United </w:t>
            </w:r>
            <w:r w:rsidR="009F065B">
              <w:rPr>
                <w:b/>
                <w:sz w:val="28"/>
                <w:szCs w:val="28"/>
              </w:rPr>
              <w:t>States</w:t>
            </w:r>
          </w:p>
        </w:tc>
      </w:tr>
      <w:tr w:rsidR="001D3316">
        <w:trPr>
          <w:trHeight w:val="20"/>
        </w:trPr>
        <w:tc>
          <w:tcPr>
            <w:tcW w:w="10031" w:type="dxa"/>
            <w:gridSpan w:val="2"/>
          </w:tcPr>
          <w:p w:rsidR="001D3316" w:rsidRDefault="009F199B" w:rsidP="009F065B">
            <w:pPr>
              <w:pStyle w:val="Normal1"/>
              <w:spacing w:before="240"/>
              <w:jc w:val="center"/>
            </w:pPr>
            <w:r>
              <w:rPr>
                <w:smallCaps/>
                <w:sz w:val="28"/>
                <w:szCs w:val="28"/>
              </w:rPr>
              <w:t>u</w:t>
            </w:r>
            <w:r w:rsidR="009F065B">
              <w:rPr>
                <w:smallCaps/>
                <w:sz w:val="28"/>
                <w:szCs w:val="28"/>
              </w:rPr>
              <w:t>s</w:t>
            </w:r>
            <w:r>
              <w:rPr>
                <w:smallCaps/>
                <w:sz w:val="28"/>
                <w:szCs w:val="28"/>
              </w:rPr>
              <w:t xml:space="preserve"> government response to the</w:t>
            </w:r>
            <w:r w:rsidR="00E53B4B">
              <w:rPr>
                <w:smallCaps/>
                <w:sz w:val="28"/>
                <w:szCs w:val="28"/>
              </w:rPr>
              <w:t xml:space="preserve"> cwg-</w:t>
            </w:r>
            <w:r>
              <w:rPr>
                <w:smallCaps/>
                <w:sz w:val="28"/>
                <w:szCs w:val="28"/>
              </w:rPr>
              <w:t>i</w:t>
            </w:r>
            <w:r w:rsidR="00E53B4B">
              <w:rPr>
                <w:smallCaps/>
                <w:sz w:val="28"/>
                <w:szCs w:val="28"/>
              </w:rPr>
              <w:t>nternet</w:t>
            </w:r>
            <w:r>
              <w:rPr>
                <w:smallCaps/>
                <w:sz w:val="28"/>
                <w:szCs w:val="28"/>
              </w:rPr>
              <w:t xml:space="preserve"> consultation</w:t>
            </w:r>
          </w:p>
        </w:tc>
      </w:tr>
    </w:tbl>
    <w:p w:rsidR="009F199B" w:rsidRPr="009E4C4C" w:rsidRDefault="009F199B" w:rsidP="009E4C4C">
      <w:pPr>
        <w:pStyle w:val="Normal1"/>
        <w:tabs>
          <w:tab w:val="left" w:pos="1418"/>
        </w:tabs>
        <w:spacing w:before="0"/>
        <w:rPr>
          <w:b/>
        </w:rPr>
      </w:pPr>
      <w:bookmarkStart w:id="2" w:name="h.erbxq0yh2qlt" w:colFirst="0" w:colLast="0"/>
      <w:bookmarkEnd w:id="2"/>
      <w:r w:rsidRPr="009E4C4C">
        <w:rPr>
          <w:b/>
        </w:rPr>
        <w:t>Introduction</w:t>
      </w:r>
    </w:p>
    <w:p w:rsidR="00B10E78" w:rsidRPr="009E4C4C" w:rsidRDefault="00B10E78" w:rsidP="009E4C4C">
      <w:pPr>
        <w:spacing w:before="0"/>
      </w:pPr>
    </w:p>
    <w:p w:rsidR="00A14C8B" w:rsidRDefault="00187550" w:rsidP="00B10E78">
      <w:pPr>
        <w:spacing w:before="0"/>
      </w:pPr>
      <w:r w:rsidRPr="009E4C4C">
        <w:t xml:space="preserve">The United States welcomes the continuing discussion </w:t>
      </w:r>
      <w:r w:rsidR="00A14C8B">
        <w:t>on</w:t>
      </w:r>
      <w:r w:rsidR="00497440">
        <w:t xml:space="preserve"> ways to achieve an </w:t>
      </w:r>
      <w:r w:rsidRPr="009E4C4C">
        <w:t xml:space="preserve">enabling environment </w:t>
      </w:r>
      <w:r w:rsidR="00497440">
        <w:t xml:space="preserve">that supports more people having access to </w:t>
      </w:r>
      <w:r w:rsidRPr="009E4C4C">
        <w:t xml:space="preserve">the Internet.  </w:t>
      </w:r>
      <w:r w:rsidR="0064013B">
        <w:t>T</w:t>
      </w:r>
      <w:r w:rsidRPr="009E4C4C">
        <w:t>he United States</w:t>
      </w:r>
      <w:r w:rsidR="00A14C8B">
        <w:t xml:space="preserve"> supports the</w:t>
      </w:r>
      <w:r w:rsidRPr="009E4C4C">
        <w:t xml:space="preserve"> effort to connect the next 1.5 billion people to the Internet</w:t>
      </w:r>
      <w:r w:rsidR="00382160">
        <w:t xml:space="preserve"> by 2020</w:t>
      </w:r>
      <w:r w:rsidR="00FD505D">
        <w:t>,</w:t>
      </w:r>
      <w:r w:rsidRPr="009E4C4C">
        <w:t xml:space="preserve"> and to help achieve that end has </w:t>
      </w:r>
      <w:r w:rsidR="00A14C8B">
        <w:t>established</w:t>
      </w:r>
      <w:r w:rsidR="00A14C8B" w:rsidRPr="009E4C4C">
        <w:t xml:space="preserve"> </w:t>
      </w:r>
      <w:r w:rsidRPr="009E4C4C">
        <w:t xml:space="preserve">the Global Connect Initiative (GCI).  </w:t>
      </w:r>
      <w:r w:rsidR="00B10E78" w:rsidRPr="009E4C4C">
        <w:t xml:space="preserve">The Global Connect Initiative seeks to raise </w:t>
      </w:r>
      <w:r w:rsidR="00A14C8B">
        <w:t>awareness</w:t>
      </w:r>
      <w:r w:rsidR="00B10E78" w:rsidRPr="009E4C4C">
        <w:t xml:space="preserve"> among policy leaders, including Finance Ministers</w:t>
      </w:r>
      <w:r w:rsidR="0064013B">
        <w:t>,</w:t>
      </w:r>
      <w:r w:rsidR="00B10E78" w:rsidRPr="009E4C4C">
        <w:t xml:space="preserve"> that an enabling environment for the deployment of broadband connectivity will help educate and inform their people, open new market opportunities for small business and entrepreneurs, and result in GDP growth.  A World Bank study found that for every 10 percentage point increase in broadband penetration, a developing nation can expect a boost of approximately 1.4% in GDP.</w:t>
      </w:r>
      <w:r w:rsidR="0052617B">
        <w:t xml:space="preserve"> However </w:t>
      </w:r>
      <w:r w:rsidR="00F111A5">
        <w:t xml:space="preserve">it also </w:t>
      </w:r>
      <w:r w:rsidR="0052617B">
        <w:t xml:space="preserve">found </w:t>
      </w:r>
      <w:r w:rsidR="0052617B" w:rsidRPr="0052617B">
        <w:t xml:space="preserve">that </w:t>
      </w:r>
      <w:r w:rsidR="00F111A5">
        <w:t>without a strong focus on development, education, and digital literacy countries will not be able to</w:t>
      </w:r>
      <w:r w:rsidR="00F111A5" w:rsidRPr="00773086">
        <w:t xml:space="preserve"> reap ample digital dividends—in faster growth, more jobs, and better services.</w:t>
      </w:r>
      <w:r w:rsidR="00F111A5">
        <w:t xml:space="preserve"> </w:t>
      </w:r>
      <w:r w:rsidR="00A14C8B">
        <w:t>It follows that</w:t>
      </w:r>
      <w:r w:rsidR="00B10E78" w:rsidRPr="009E4C4C">
        <w:t xml:space="preserve">, falling behind in building connectivity will be crippling to a country’s growth potential.  </w:t>
      </w:r>
    </w:p>
    <w:p w:rsidR="00A14C8B" w:rsidRDefault="00A14C8B" w:rsidP="00B10E78">
      <w:pPr>
        <w:spacing w:before="0"/>
      </w:pPr>
    </w:p>
    <w:p w:rsidR="00B10E78" w:rsidRPr="0050139A" w:rsidRDefault="00A14C8B" w:rsidP="00B10E78">
      <w:pPr>
        <w:spacing w:before="0"/>
      </w:pPr>
      <w:r>
        <w:rPr>
          <w:color w:val="auto"/>
        </w:rPr>
        <w:t>It seems that the price of not being connected is heavy.</w:t>
      </w:r>
      <w:r w:rsidRPr="009E4C4C">
        <w:t xml:space="preserve"> </w:t>
      </w:r>
      <w:r w:rsidR="00B10E78" w:rsidRPr="009E4C4C">
        <w:t>A</w:t>
      </w:r>
      <w:r w:rsidR="00B10E78" w:rsidRPr="009E4C4C">
        <w:rPr>
          <w:color w:val="111111"/>
        </w:rPr>
        <w:t xml:space="preserve">ccording to the McKinsey Global Institute, the amount of cross-border digital bandwidth that is used </w:t>
      </w:r>
      <w:r w:rsidR="009E4C4C" w:rsidRPr="009E4C4C">
        <w:rPr>
          <w:color w:val="111111"/>
        </w:rPr>
        <w:t xml:space="preserve">today </w:t>
      </w:r>
      <w:r w:rsidR="00B10E78" w:rsidRPr="009E4C4C">
        <w:rPr>
          <w:color w:val="111111"/>
        </w:rPr>
        <w:t>to move data has grown 45 times larger since 2005. It is projected to increase by an additional nine times over the next five years -- connecting more people, ideas, and businesses. For those who are digitally-isolated, their opportunities for growth and success will diminish, exacerbating inequality and further disadvantaging billions of people.</w:t>
      </w:r>
    </w:p>
    <w:p w:rsidR="009E4C4C" w:rsidRDefault="009E4C4C" w:rsidP="00B10E78">
      <w:pPr>
        <w:spacing w:before="0"/>
        <w:rPr>
          <w:color w:val="111111"/>
        </w:rPr>
      </w:pPr>
    </w:p>
    <w:p w:rsidR="009E4C4C" w:rsidRDefault="00F67E0E" w:rsidP="00B10E78">
      <w:pPr>
        <w:spacing w:before="0"/>
        <w:rPr>
          <w:b/>
          <w:color w:val="111111"/>
        </w:rPr>
      </w:pPr>
      <w:r>
        <w:rPr>
          <w:b/>
          <w:color w:val="111111"/>
        </w:rPr>
        <w:t xml:space="preserve">Toward an Enabling Environment </w:t>
      </w:r>
      <w:r w:rsidR="00BF357B">
        <w:rPr>
          <w:b/>
          <w:color w:val="111111"/>
        </w:rPr>
        <w:t>to Promote Internet Connectivity</w:t>
      </w:r>
    </w:p>
    <w:p w:rsidR="00A864F3" w:rsidRDefault="00A864F3" w:rsidP="00B10E78">
      <w:pPr>
        <w:spacing w:before="0"/>
        <w:rPr>
          <w:color w:val="111111"/>
        </w:rPr>
      </w:pPr>
    </w:p>
    <w:p w:rsidR="009E4C4C" w:rsidRDefault="009E4C4C" w:rsidP="00B10E78">
      <w:pPr>
        <w:spacing w:before="0"/>
        <w:rPr>
          <w:color w:val="111111"/>
        </w:rPr>
      </w:pPr>
      <w:r w:rsidRPr="009E4C4C">
        <w:rPr>
          <w:color w:val="111111"/>
        </w:rPr>
        <w:t xml:space="preserve">There is </w:t>
      </w:r>
      <w:r>
        <w:rPr>
          <w:color w:val="111111"/>
        </w:rPr>
        <w:t xml:space="preserve">growing consensus that while a one-size-fits-all approach may not be viable for the entire world, particularly in least developed countries, </w:t>
      </w:r>
      <w:r w:rsidR="00FD505D">
        <w:rPr>
          <w:color w:val="111111"/>
        </w:rPr>
        <w:t xml:space="preserve">but </w:t>
      </w:r>
      <w:r>
        <w:rPr>
          <w:color w:val="111111"/>
        </w:rPr>
        <w:t>there are some common principles and approaches for advancing our shared global connectivity goals:</w:t>
      </w:r>
    </w:p>
    <w:p w:rsidR="009E4C4C" w:rsidRDefault="009E4C4C" w:rsidP="00B10E78">
      <w:pPr>
        <w:spacing w:before="0"/>
        <w:rPr>
          <w:color w:val="111111"/>
        </w:rPr>
      </w:pPr>
    </w:p>
    <w:p w:rsidR="009E4C4C" w:rsidRPr="009E4C4C" w:rsidRDefault="009E4C4C" w:rsidP="009E4C4C">
      <w:pPr>
        <w:pStyle w:val="ListParagraph"/>
        <w:numPr>
          <w:ilvl w:val="0"/>
          <w:numId w:val="13"/>
        </w:numPr>
        <w:rPr>
          <w:rFonts w:asciiTheme="majorHAnsi" w:hAnsiTheme="majorHAnsi"/>
        </w:rPr>
      </w:pPr>
      <w:r w:rsidRPr="009E4C4C">
        <w:rPr>
          <w:rFonts w:asciiTheme="majorHAnsi" w:hAnsiTheme="majorHAnsi"/>
        </w:rPr>
        <w:lastRenderedPageBreak/>
        <w:t xml:space="preserve">Internet connectivity should be an integral part of all national development strategies; </w:t>
      </w:r>
    </w:p>
    <w:p w:rsidR="008D6055" w:rsidRDefault="008D6055" w:rsidP="008D6055">
      <w:pPr>
        <w:pStyle w:val="ListParagraph"/>
        <w:rPr>
          <w:rFonts w:asciiTheme="majorHAnsi" w:hAnsiTheme="majorHAnsi"/>
        </w:rPr>
      </w:pPr>
    </w:p>
    <w:p w:rsidR="009E4C4C" w:rsidRDefault="009E4C4C" w:rsidP="009E4C4C">
      <w:pPr>
        <w:pStyle w:val="ListParagraph"/>
        <w:numPr>
          <w:ilvl w:val="0"/>
          <w:numId w:val="13"/>
        </w:numPr>
        <w:rPr>
          <w:rFonts w:asciiTheme="majorHAnsi" w:hAnsiTheme="majorHAnsi"/>
        </w:rPr>
      </w:pPr>
      <w:r w:rsidRPr="009E4C4C">
        <w:rPr>
          <w:rFonts w:asciiTheme="majorHAnsi" w:hAnsiTheme="majorHAnsi"/>
        </w:rPr>
        <w:t xml:space="preserve">All stakeholders, including governments, industry, civil society, the technical community, international financial institutions and international development organizations, should accelerate efforts towards universal connectivity; </w:t>
      </w:r>
    </w:p>
    <w:p w:rsidR="009E4C4C" w:rsidRPr="009E4C4C" w:rsidRDefault="009E4C4C" w:rsidP="009E4C4C">
      <w:pPr>
        <w:pStyle w:val="ListParagraph"/>
        <w:rPr>
          <w:rFonts w:asciiTheme="majorHAnsi" w:hAnsiTheme="majorHAnsi"/>
        </w:rPr>
      </w:pPr>
    </w:p>
    <w:p w:rsidR="0052617B" w:rsidRDefault="009E4C4C" w:rsidP="009E4C4C">
      <w:pPr>
        <w:pStyle w:val="ListParagraph"/>
        <w:numPr>
          <w:ilvl w:val="0"/>
          <w:numId w:val="13"/>
        </w:numPr>
        <w:rPr>
          <w:rFonts w:asciiTheme="majorHAnsi" w:hAnsiTheme="majorHAnsi"/>
        </w:rPr>
      </w:pPr>
      <w:r w:rsidRPr="009E4C4C">
        <w:rPr>
          <w:rFonts w:asciiTheme="majorHAnsi" w:hAnsiTheme="majorHAnsi"/>
        </w:rPr>
        <w:t>Innovative industry-driven solutions to extend connectivity to remote areas should be encouraged;</w:t>
      </w:r>
    </w:p>
    <w:p w:rsidR="009E4C4C" w:rsidRDefault="009E4C4C" w:rsidP="009E4C4C">
      <w:pPr>
        <w:pStyle w:val="ListParagraph"/>
        <w:rPr>
          <w:rFonts w:asciiTheme="majorHAnsi" w:hAnsiTheme="majorHAnsi"/>
        </w:rPr>
      </w:pPr>
    </w:p>
    <w:p w:rsidR="009E4C4C" w:rsidRPr="009E4C4C" w:rsidRDefault="009E4C4C" w:rsidP="009E4C4C">
      <w:pPr>
        <w:pStyle w:val="ListParagraph"/>
        <w:numPr>
          <w:ilvl w:val="0"/>
          <w:numId w:val="13"/>
        </w:numPr>
        <w:rPr>
          <w:rFonts w:asciiTheme="majorHAnsi" w:hAnsiTheme="majorHAnsi"/>
        </w:rPr>
      </w:pPr>
      <w:r w:rsidRPr="009E4C4C">
        <w:rPr>
          <w:rFonts w:asciiTheme="majorHAnsi" w:hAnsiTheme="majorHAnsi"/>
        </w:rPr>
        <w:t xml:space="preserve">We should foster digital literacy, enable and promote the development of locally relevant content, applications, and services as they are essential to widespread adoption of the Internet and increase its social and economic value to people, families, and communities; </w:t>
      </w:r>
    </w:p>
    <w:p w:rsidR="009E4C4C" w:rsidRPr="009E4C4C" w:rsidRDefault="009E4C4C" w:rsidP="009E4C4C">
      <w:pPr>
        <w:pStyle w:val="ListParagraph"/>
        <w:rPr>
          <w:rFonts w:asciiTheme="majorHAnsi" w:hAnsiTheme="majorHAnsi"/>
        </w:rPr>
      </w:pPr>
    </w:p>
    <w:p w:rsidR="009E4C4C" w:rsidRDefault="009E4C4C" w:rsidP="009E4C4C">
      <w:pPr>
        <w:pStyle w:val="ListParagraph"/>
        <w:numPr>
          <w:ilvl w:val="0"/>
          <w:numId w:val="13"/>
        </w:numPr>
        <w:rPr>
          <w:rFonts w:asciiTheme="majorHAnsi" w:hAnsiTheme="majorHAnsi"/>
        </w:rPr>
      </w:pPr>
      <w:r w:rsidRPr="009E4C4C">
        <w:rPr>
          <w:rFonts w:asciiTheme="majorHAnsi" w:hAnsiTheme="majorHAnsi"/>
        </w:rPr>
        <w:t xml:space="preserve">We should encourage public access, as for example in public libraries and community centers, among others; </w:t>
      </w:r>
    </w:p>
    <w:p w:rsidR="009E4C4C" w:rsidRPr="009E4C4C" w:rsidRDefault="009E4C4C" w:rsidP="009E4C4C">
      <w:pPr>
        <w:pStyle w:val="ListParagraph"/>
        <w:rPr>
          <w:rFonts w:asciiTheme="majorHAnsi" w:hAnsiTheme="majorHAnsi"/>
        </w:rPr>
      </w:pPr>
    </w:p>
    <w:p w:rsidR="00497440" w:rsidRPr="00497440" w:rsidRDefault="009E4C4C" w:rsidP="009E4C4C">
      <w:pPr>
        <w:pStyle w:val="ListParagraph"/>
        <w:numPr>
          <w:ilvl w:val="0"/>
          <w:numId w:val="13"/>
        </w:numPr>
        <w:rPr>
          <w:rFonts w:asciiTheme="majorHAnsi" w:hAnsiTheme="majorHAnsi"/>
          <w:color w:val="111111"/>
        </w:rPr>
      </w:pPr>
      <w:r w:rsidRPr="009E4C4C">
        <w:rPr>
          <w:rFonts w:asciiTheme="majorHAnsi" w:hAnsiTheme="majorHAnsi"/>
        </w:rPr>
        <w:t xml:space="preserve">We should help create enabling environments by adopting policies and strategies that focus not only on spurring connectivity, but also entrepreneurship, cross-border information flows, and open and competitive marketplaces; and </w:t>
      </w:r>
    </w:p>
    <w:p w:rsidR="00497440" w:rsidRPr="00497440" w:rsidRDefault="00497440" w:rsidP="00497440">
      <w:pPr>
        <w:pStyle w:val="ListParagraph"/>
        <w:rPr>
          <w:rFonts w:asciiTheme="majorHAnsi" w:hAnsiTheme="majorHAnsi"/>
        </w:rPr>
      </w:pPr>
    </w:p>
    <w:p w:rsidR="009E4C4C" w:rsidRPr="00497440" w:rsidRDefault="009E4C4C" w:rsidP="009E4C4C">
      <w:pPr>
        <w:pStyle w:val="ListParagraph"/>
        <w:numPr>
          <w:ilvl w:val="0"/>
          <w:numId w:val="13"/>
        </w:numPr>
        <w:rPr>
          <w:rFonts w:asciiTheme="majorHAnsi" w:hAnsiTheme="majorHAnsi"/>
          <w:color w:val="111111"/>
        </w:rPr>
      </w:pPr>
      <w:r w:rsidRPr="009E4C4C">
        <w:rPr>
          <w:rFonts w:asciiTheme="majorHAnsi" w:hAnsiTheme="majorHAnsi"/>
        </w:rPr>
        <w:t>We should make Internet connectivity more available, accessible, and affordable around the world, as that helps us achieve the Sustainable Development Goals.</w:t>
      </w:r>
    </w:p>
    <w:p w:rsidR="00497440" w:rsidRDefault="00497440" w:rsidP="00497440">
      <w:pPr>
        <w:pStyle w:val="ListParagraph"/>
        <w:rPr>
          <w:rFonts w:asciiTheme="majorHAnsi" w:hAnsiTheme="majorHAnsi"/>
          <w:color w:val="111111"/>
        </w:rPr>
      </w:pPr>
    </w:p>
    <w:p w:rsidR="00F67E0E" w:rsidRPr="00F67E0E" w:rsidRDefault="00F67E0E" w:rsidP="00F67E0E">
      <w:pPr>
        <w:pStyle w:val="ListParagraph"/>
        <w:ind w:left="0"/>
        <w:rPr>
          <w:rFonts w:asciiTheme="majorHAnsi" w:hAnsiTheme="majorHAnsi"/>
          <w:color w:val="111111"/>
          <w:u w:val="single"/>
        </w:rPr>
      </w:pPr>
      <w:r w:rsidRPr="00F67E0E">
        <w:rPr>
          <w:rFonts w:asciiTheme="majorHAnsi" w:hAnsiTheme="majorHAnsi"/>
          <w:color w:val="111111"/>
          <w:u w:val="single"/>
        </w:rPr>
        <w:t xml:space="preserve">An Increasing Pool of Resources </w:t>
      </w:r>
    </w:p>
    <w:p w:rsidR="00F67E0E" w:rsidRDefault="00F67E0E" w:rsidP="00F67E0E">
      <w:pPr>
        <w:pStyle w:val="ListParagraph"/>
        <w:ind w:left="0"/>
        <w:rPr>
          <w:rFonts w:asciiTheme="majorHAnsi" w:hAnsiTheme="majorHAnsi"/>
          <w:color w:val="111111"/>
        </w:rPr>
      </w:pPr>
    </w:p>
    <w:p w:rsidR="00C57997" w:rsidRDefault="00F67E0E" w:rsidP="00F67E0E">
      <w:pPr>
        <w:pStyle w:val="ListParagraph"/>
        <w:ind w:left="0"/>
        <w:rPr>
          <w:rFonts w:asciiTheme="majorHAnsi" w:hAnsiTheme="majorHAnsi"/>
          <w:color w:val="111111"/>
        </w:rPr>
      </w:pPr>
      <w:r>
        <w:rPr>
          <w:rFonts w:asciiTheme="majorHAnsi" w:hAnsiTheme="majorHAnsi"/>
          <w:color w:val="111111"/>
        </w:rPr>
        <w:t xml:space="preserve">The United States notes there is an increasing body of work and capacity building resources available for policy makers, regulators and </w:t>
      </w:r>
      <w:r w:rsidR="00C57997">
        <w:rPr>
          <w:rFonts w:asciiTheme="majorHAnsi" w:hAnsiTheme="majorHAnsi"/>
          <w:color w:val="111111"/>
        </w:rPr>
        <w:t xml:space="preserve">potential business entrants to support developing countries efforts to increase broadband deployment.  The ITU has played an important leadership role in this area.  Other regional and international organizations are also playing </w:t>
      </w:r>
      <w:r w:rsidR="00FD505D">
        <w:rPr>
          <w:rFonts w:asciiTheme="majorHAnsi" w:hAnsiTheme="majorHAnsi"/>
          <w:color w:val="111111"/>
        </w:rPr>
        <w:t>important roles. F</w:t>
      </w:r>
      <w:r w:rsidR="00C57997">
        <w:rPr>
          <w:rFonts w:asciiTheme="majorHAnsi" w:hAnsiTheme="majorHAnsi"/>
          <w:color w:val="111111"/>
        </w:rPr>
        <w:t xml:space="preserve">or example, GSMA offers the Capacity Building </w:t>
      </w:r>
      <w:proofErr w:type="spellStart"/>
      <w:r w:rsidR="00C57997">
        <w:rPr>
          <w:rFonts w:asciiTheme="majorHAnsi" w:hAnsiTheme="majorHAnsi"/>
          <w:color w:val="111111"/>
        </w:rPr>
        <w:t>Programme</w:t>
      </w:r>
      <w:proofErr w:type="spellEnd"/>
      <w:r w:rsidR="00C57997">
        <w:rPr>
          <w:rFonts w:asciiTheme="majorHAnsi" w:hAnsiTheme="majorHAnsi"/>
          <w:color w:val="111111"/>
        </w:rPr>
        <w:t xml:space="preserve"> </w:t>
      </w:r>
      <w:hyperlink r:id="rId13" w:history="1">
        <w:r w:rsidR="00C57997" w:rsidRPr="009E593D">
          <w:rPr>
            <w:rStyle w:val="Hyperlink"/>
            <w:rFonts w:asciiTheme="majorHAnsi" w:hAnsiTheme="majorHAnsi"/>
          </w:rPr>
          <w:t>http://www.gsma.com/publicpolicy/capacitybuilding</w:t>
        </w:r>
      </w:hyperlink>
      <w:r w:rsidR="00BF534B">
        <w:rPr>
          <w:rFonts w:asciiTheme="majorHAnsi" w:hAnsiTheme="majorHAnsi"/>
          <w:color w:val="111111"/>
        </w:rPr>
        <w:t>;</w:t>
      </w:r>
      <w:r w:rsidR="00C57997">
        <w:rPr>
          <w:rFonts w:asciiTheme="majorHAnsi" w:hAnsiTheme="majorHAnsi"/>
          <w:color w:val="111111"/>
        </w:rPr>
        <w:t xml:space="preserve"> IDB</w:t>
      </w:r>
      <w:r w:rsidR="00BF534B">
        <w:rPr>
          <w:rFonts w:asciiTheme="majorHAnsi" w:hAnsiTheme="majorHAnsi"/>
          <w:color w:val="111111"/>
        </w:rPr>
        <w:t xml:space="preserve"> and </w:t>
      </w:r>
      <w:r w:rsidR="00C57997">
        <w:rPr>
          <w:rFonts w:asciiTheme="majorHAnsi" w:hAnsiTheme="majorHAnsi"/>
          <w:color w:val="111111"/>
        </w:rPr>
        <w:t>OECD just published the Broadband Policies for Latin Americ</w:t>
      </w:r>
      <w:r w:rsidR="00BF534B">
        <w:rPr>
          <w:rFonts w:asciiTheme="majorHAnsi" w:hAnsiTheme="majorHAnsi"/>
          <w:color w:val="111111"/>
        </w:rPr>
        <w:t>a</w:t>
      </w:r>
      <w:r w:rsidR="0064013B">
        <w:rPr>
          <w:rFonts w:asciiTheme="majorHAnsi" w:hAnsiTheme="majorHAnsi"/>
          <w:color w:val="111111"/>
        </w:rPr>
        <w:t xml:space="preserve"> and the Caribbean:  A Digital E</w:t>
      </w:r>
      <w:r w:rsidR="00C57997">
        <w:rPr>
          <w:rFonts w:asciiTheme="majorHAnsi" w:hAnsiTheme="majorHAnsi"/>
          <w:color w:val="111111"/>
        </w:rPr>
        <w:t>conomy Toolkit</w:t>
      </w:r>
      <w:r w:rsidR="00C57997" w:rsidRPr="00C57997">
        <w:t xml:space="preserve"> </w:t>
      </w:r>
      <w:hyperlink r:id="rId14" w:history="1">
        <w:r w:rsidR="00BF534B" w:rsidRPr="009E593D">
          <w:rPr>
            <w:rStyle w:val="Hyperlink"/>
            <w:rFonts w:asciiTheme="majorHAnsi" w:hAnsiTheme="majorHAnsi"/>
          </w:rPr>
          <w:t>http://www.oecd.org/publications/broadband-policies-for-latin-america-and-the-caribbean-9789264251823-en.htm</w:t>
        </w:r>
      </w:hyperlink>
      <w:r w:rsidR="00BF534B">
        <w:rPr>
          <w:rFonts w:asciiTheme="majorHAnsi" w:hAnsiTheme="majorHAnsi"/>
          <w:color w:val="111111"/>
        </w:rPr>
        <w:t xml:space="preserve">, CISCO runs the </w:t>
      </w:r>
      <w:r w:rsidR="00C57997">
        <w:rPr>
          <w:rFonts w:asciiTheme="majorHAnsi" w:hAnsiTheme="majorHAnsi"/>
          <w:color w:val="111111"/>
        </w:rPr>
        <w:t>Networking Academy</w:t>
      </w:r>
      <w:r w:rsidR="00BF534B" w:rsidRPr="00BF534B">
        <w:t xml:space="preserve"> </w:t>
      </w:r>
      <w:hyperlink r:id="rId15" w:history="1">
        <w:r w:rsidR="00BC3269" w:rsidRPr="009E593D">
          <w:rPr>
            <w:rStyle w:val="Hyperlink"/>
            <w:rFonts w:asciiTheme="majorHAnsi" w:hAnsiTheme="majorHAnsi"/>
          </w:rPr>
          <w:t>https://www.netacad.com</w:t>
        </w:r>
      </w:hyperlink>
      <w:r w:rsidR="0064013B">
        <w:rPr>
          <w:rStyle w:val="Hyperlink"/>
          <w:rFonts w:asciiTheme="majorHAnsi" w:hAnsiTheme="majorHAnsi"/>
        </w:rPr>
        <w:t>,</w:t>
      </w:r>
    </w:p>
    <w:p w:rsidR="00BF534B" w:rsidRDefault="00BF534B" w:rsidP="00F67E0E">
      <w:pPr>
        <w:pStyle w:val="ListParagraph"/>
        <w:ind w:left="0"/>
        <w:rPr>
          <w:rFonts w:asciiTheme="majorHAnsi" w:hAnsiTheme="majorHAnsi"/>
          <w:color w:val="111111"/>
        </w:rPr>
      </w:pPr>
      <w:proofErr w:type="gramStart"/>
      <w:r>
        <w:rPr>
          <w:rFonts w:asciiTheme="majorHAnsi" w:hAnsiTheme="majorHAnsi"/>
          <w:color w:val="111111"/>
        </w:rPr>
        <w:t>and</w:t>
      </w:r>
      <w:proofErr w:type="gramEnd"/>
      <w:r>
        <w:rPr>
          <w:rFonts w:asciiTheme="majorHAnsi" w:hAnsiTheme="majorHAnsi"/>
          <w:color w:val="111111"/>
        </w:rPr>
        <w:t xml:space="preserve"> the </w:t>
      </w:r>
      <w:r w:rsidR="00C57997">
        <w:rPr>
          <w:rFonts w:asciiTheme="majorHAnsi" w:hAnsiTheme="majorHAnsi"/>
          <w:color w:val="111111"/>
        </w:rPr>
        <w:t>United States Telecom</w:t>
      </w:r>
      <w:r>
        <w:rPr>
          <w:rFonts w:asciiTheme="majorHAnsi" w:hAnsiTheme="majorHAnsi"/>
          <w:color w:val="111111"/>
        </w:rPr>
        <w:t>m</w:t>
      </w:r>
      <w:r w:rsidR="00C57997">
        <w:rPr>
          <w:rFonts w:asciiTheme="majorHAnsi" w:hAnsiTheme="majorHAnsi"/>
          <w:color w:val="111111"/>
        </w:rPr>
        <w:t>un</w:t>
      </w:r>
      <w:r>
        <w:rPr>
          <w:rFonts w:asciiTheme="majorHAnsi" w:hAnsiTheme="majorHAnsi"/>
          <w:color w:val="111111"/>
        </w:rPr>
        <w:t>ica</w:t>
      </w:r>
      <w:r w:rsidR="00C57997">
        <w:rPr>
          <w:rFonts w:asciiTheme="majorHAnsi" w:hAnsiTheme="majorHAnsi"/>
          <w:color w:val="111111"/>
        </w:rPr>
        <w:t>tions Training Institu</w:t>
      </w:r>
      <w:r>
        <w:rPr>
          <w:rFonts w:asciiTheme="majorHAnsi" w:hAnsiTheme="majorHAnsi"/>
          <w:color w:val="111111"/>
        </w:rPr>
        <w:t>t</w:t>
      </w:r>
      <w:r w:rsidR="00C57997">
        <w:rPr>
          <w:rFonts w:asciiTheme="majorHAnsi" w:hAnsiTheme="majorHAnsi"/>
          <w:color w:val="111111"/>
        </w:rPr>
        <w:t xml:space="preserve">e </w:t>
      </w:r>
      <w:hyperlink r:id="rId16" w:history="1">
        <w:r w:rsidRPr="009E593D">
          <w:rPr>
            <w:rStyle w:val="Hyperlink"/>
            <w:rFonts w:asciiTheme="majorHAnsi" w:hAnsiTheme="majorHAnsi"/>
          </w:rPr>
          <w:t>http://ustti.org</w:t>
        </w:r>
      </w:hyperlink>
    </w:p>
    <w:p w:rsidR="00BF534B" w:rsidRDefault="0064013B" w:rsidP="00F67E0E">
      <w:pPr>
        <w:pStyle w:val="ListParagraph"/>
        <w:ind w:left="0"/>
        <w:rPr>
          <w:rFonts w:asciiTheme="majorHAnsi" w:hAnsiTheme="majorHAnsi"/>
          <w:color w:val="111111"/>
        </w:rPr>
      </w:pPr>
      <w:proofErr w:type="gramStart"/>
      <w:r>
        <w:rPr>
          <w:rFonts w:asciiTheme="majorHAnsi" w:hAnsiTheme="majorHAnsi"/>
          <w:color w:val="111111"/>
        </w:rPr>
        <w:t>provides</w:t>
      </w:r>
      <w:proofErr w:type="gramEnd"/>
      <w:r w:rsidR="00BF534B">
        <w:rPr>
          <w:rFonts w:asciiTheme="majorHAnsi" w:hAnsiTheme="majorHAnsi"/>
          <w:color w:val="111111"/>
        </w:rPr>
        <w:t xml:space="preserve"> tuition free courses in technical and regulatory matters.</w:t>
      </w:r>
    </w:p>
    <w:p w:rsidR="00BF534B" w:rsidRDefault="00BF534B" w:rsidP="00F67E0E">
      <w:pPr>
        <w:pStyle w:val="ListParagraph"/>
        <w:ind w:left="0"/>
        <w:rPr>
          <w:rFonts w:asciiTheme="majorHAnsi" w:hAnsiTheme="majorHAnsi"/>
          <w:color w:val="111111"/>
        </w:rPr>
      </w:pPr>
    </w:p>
    <w:p w:rsidR="00BF534B" w:rsidRDefault="00BF534B" w:rsidP="00BF534B">
      <w:pPr>
        <w:pStyle w:val="NormalWeb"/>
        <w:shd w:val="clear" w:color="auto" w:fill="FFFFFF"/>
        <w:spacing w:before="0" w:beforeAutospacing="0" w:after="0" w:afterAutospacing="0" w:line="276" w:lineRule="auto"/>
        <w:textAlignment w:val="baseline"/>
        <w:rPr>
          <w:rFonts w:asciiTheme="majorHAnsi" w:hAnsiTheme="majorHAnsi"/>
          <w:color w:val="111111"/>
          <w:shd w:val="clear" w:color="auto" w:fill="FFFFFF"/>
        </w:rPr>
      </w:pPr>
      <w:r>
        <w:rPr>
          <w:rFonts w:asciiTheme="majorHAnsi" w:hAnsiTheme="majorHAnsi"/>
          <w:color w:val="111111"/>
        </w:rPr>
        <w:t>Infrastructure financing is a major need for dev</w:t>
      </w:r>
      <w:r w:rsidR="0064013B">
        <w:rPr>
          <w:rFonts w:asciiTheme="majorHAnsi" w:hAnsiTheme="majorHAnsi"/>
          <w:color w:val="111111"/>
        </w:rPr>
        <w:t>eloping countries and is a</w:t>
      </w:r>
      <w:r>
        <w:rPr>
          <w:rFonts w:asciiTheme="majorHAnsi" w:hAnsiTheme="majorHAnsi"/>
          <w:color w:val="111111"/>
        </w:rPr>
        <w:t xml:space="preserve"> focus for </w:t>
      </w:r>
      <w:r w:rsidR="00FD505D">
        <w:rPr>
          <w:rFonts w:asciiTheme="majorHAnsi" w:hAnsiTheme="majorHAnsi"/>
          <w:color w:val="111111"/>
        </w:rPr>
        <w:t>GCI</w:t>
      </w:r>
      <w:r>
        <w:rPr>
          <w:rFonts w:asciiTheme="majorHAnsi" w:hAnsiTheme="majorHAnsi"/>
          <w:color w:val="111111"/>
        </w:rPr>
        <w:t xml:space="preserve"> and the UN Broadband Commission, among others.  That focus is bearing fruit as development banks are approving funding for broadband infrastructure projects.  For example</w:t>
      </w:r>
      <w:r w:rsidRPr="00BF534B">
        <w:rPr>
          <w:rFonts w:asciiTheme="majorHAnsi" w:hAnsiTheme="majorHAnsi"/>
          <w:color w:val="111111"/>
        </w:rPr>
        <w:t xml:space="preserve">, </w:t>
      </w:r>
      <w:r w:rsidRPr="00BF534B">
        <w:rPr>
          <w:rFonts w:asciiTheme="majorHAnsi" w:hAnsiTheme="majorHAnsi"/>
          <w:color w:val="111111"/>
          <w:shd w:val="clear" w:color="auto" w:fill="FFFFFF"/>
        </w:rPr>
        <w:t>the U.S. Overseas Private Investment Corporation</w:t>
      </w:r>
      <w:r w:rsidR="00BC3269">
        <w:rPr>
          <w:rFonts w:asciiTheme="majorHAnsi" w:hAnsiTheme="majorHAnsi"/>
          <w:color w:val="111111"/>
          <w:shd w:val="clear" w:color="auto" w:fill="FFFFFF"/>
        </w:rPr>
        <w:t xml:space="preserve"> (</w:t>
      </w:r>
      <w:r w:rsidRPr="00BF534B">
        <w:rPr>
          <w:rFonts w:asciiTheme="majorHAnsi" w:hAnsiTheme="majorHAnsi"/>
          <w:color w:val="111111"/>
          <w:shd w:val="clear" w:color="auto" w:fill="FFFFFF"/>
        </w:rPr>
        <w:t>OPIC</w:t>
      </w:r>
      <w:r w:rsidR="00BC3269">
        <w:rPr>
          <w:rFonts w:asciiTheme="majorHAnsi" w:hAnsiTheme="majorHAnsi"/>
          <w:color w:val="111111"/>
          <w:shd w:val="clear" w:color="auto" w:fill="FFFFFF"/>
        </w:rPr>
        <w:t>)</w:t>
      </w:r>
      <w:r w:rsidRPr="00BF534B">
        <w:rPr>
          <w:rFonts w:asciiTheme="majorHAnsi" w:hAnsiTheme="majorHAnsi"/>
          <w:color w:val="111111"/>
          <w:shd w:val="clear" w:color="auto" w:fill="FFFFFF"/>
        </w:rPr>
        <w:t xml:space="preserve"> approved up to $171 million in financing for a low-cost and rapidly scalable wireless broadband network in India. </w:t>
      </w:r>
      <w:r w:rsidR="004D073B">
        <w:rPr>
          <w:rFonts w:asciiTheme="majorHAnsi" w:hAnsiTheme="majorHAnsi"/>
          <w:color w:val="111111"/>
          <w:shd w:val="clear" w:color="auto" w:fill="FFFFFF"/>
        </w:rPr>
        <w:t>The African Development Bank has played a major role in financing projects to deploy submarine cables, regional networks and national backbone</w:t>
      </w:r>
      <w:r w:rsidR="0064013B">
        <w:rPr>
          <w:rFonts w:asciiTheme="majorHAnsi" w:hAnsiTheme="majorHAnsi"/>
          <w:color w:val="111111"/>
          <w:shd w:val="clear" w:color="auto" w:fill="FFFFFF"/>
        </w:rPr>
        <w:t xml:space="preserve"> infrastructure</w:t>
      </w:r>
      <w:r w:rsidR="00FD505D">
        <w:rPr>
          <w:rFonts w:asciiTheme="majorHAnsi" w:hAnsiTheme="majorHAnsi"/>
          <w:color w:val="111111"/>
          <w:shd w:val="clear" w:color="auto" w:fill="FFFFFF"/>
        </w:rPr>
        <w:t xml:space="preserve"> in Africa</w:t>
      </w:r>
      <w:r w:rsidR="004D073B">
        <w:rPr>
          <w:rFonts w:asciiTheme="majorHAnsi" w:hAnsiTheme="majorHAnsi"/>
          <w:color w:val="111111"/>
          <w:shd w:val="clear" w:color="auto" w:fill="FFFFFF"/>
        </w:rPr>
        <w:t>.</w:t>
      </w:r>
    </w:p>
    <w:p w:rsidR="00BF357B" w:rsidRDefault="00BF357B" w:rsidP="00BF357B">
      <w:pPr>
        <w:spacing w:before="0"/>
        <w:rPr>
          <w:b/>
          <w:color w:val="111111"/>
        </w:rPr>
      </w:pPr>
    </w:p>
    <w:p w:rsidR="00BF357B" w:rsidRDefault="00BF357B" w:rsidP="00BF357B">
      <w:pPr>
        <w:spacing w:before="0"/>
        <w:rPr>
          <w:b/>
          <w:color w:val="111111"/>
        </w:rPr>
      </w:pPr>
      <w:r>
        <w:rPr>
          <w:b/>
          <w:color w:val="111111"/>
        </w:rPr>
        <w:t>Toward an Enabling Environment to Promote an Affordable Internet and Quality of Access</w:t>
      </w:r>
    </w:p>
    <w:p w:rsidR="00BF357B" w:rsidRDefault="00BF357B" w:rsidP="00BF357B">
      <w:pPr>
        <w:spacing w:before="0"/>
        <w:rPr>
          <w:b/>
          <w:color w:val="111111"/>
        </w:rPr>
      </w:pPr>
    </w:p>
    <w:p w:rsidR="003914BE" w:rsidRDefault="00BF357B" w:rsidP="00BF534B">
      <w:pPr>
        <w:pStyle w:val="NormalWeb"/>
        <w:shd w:val="clear" w:color="auto" w:fill="FFFFFF"/>
        <w:spacing w:before="0" w:beforeAutospacing="0" w:after="0" w:afterAutospacing="0" w:line="276" w:lineRule="auto"/>
        <w:textAlignment w:val="baseline"/>
        <w:rPr>
          <w:rFonts w:asciiTheme="majorHAnsi" w:hAnsiTheme="majorHAnsi"/>
          <w:color w:val="111111"/>
        </w:rPr>
      </w:pPr>
      <w:r>
        <w:rPr>
          <w:rFonts w:asciiTheme="majorHAnsi" w:hAnsiTheme="majorHAnsi"/>
          <w:color w:val="111111"/>
        </w:rPr>
        <w:t>The United States is a proponent of competition as a determining factor in price and quality of service.  In Marc</w:t>
      </w:r>
      <w:r w:rsidR="003914BE">
        <w:rPr>
          <w:rFonts w:asciiTheme="majorHAnsi" w:hAnsiTheme="majorHAnsi"/>
          <w:color w:val="111111"/>
        </w:rPr>
        <w:t>h</w:t>
      </w:r>
      <w:r>
        <w:rPr>
          <w:rFonts w:asciiTheme="majorHAnsi" w:hAnsiTheme="majorHAnsi"/>
          <w:color w:val="111111"/>
        </w:rPr>
        <w:t xml:space="preserve"> 2016</w:t>
      </w:r>
      <w:r w:rsidR="00FD505D">
        <w:rPr>
          <w:rFonts w:asciiTheme="majorHAnsi" w:hAnsiTheme="majorHAnsi"/>
          <w:color w:val="111111"/>
        </w:rPr>
        <w:t>,</w:t>
      </w:r>
      <w:r>
        <w:rPr>
          <w:rFonts w:asciiTheme="majorHAnsi" w:hAnsiTheme="majorHAnsi"/>
          <w:color w:val="111111"/>
        </w:rPr>
        <w:t xml:space="preserve"> </w:t>
      </w:r>
      <w:r w:rsidR="00FD505D">
        <w:rPr>
          <w:rFonts w:asciiTheme="majorHAnsi" w:hAnsiTheme="majorHAnsi"/>
          <w:color w:val="111111"/>
        </w:rPr>
        <w:t xml:space="preserve">the </w:t>
      </w:r>
      <w:r>
        <w:rPr>
          <w:rFonts w:asciiTheme="majorHAnsi" w:hAnsiTheme="majorHAnsi"/>
          <w:color w:val="111111"/>
        </w:rPr>
        <w:t>U.S. President’s Council of Economic Advisers issued a report that found a relationship between competition, price, service and usage:  “In areas where there is more competition, all else being equal, we should see higher levels of service quality and lower prices which, in turn, should lead to higher percentages of Internet usage.”</w:t>
      </w:r>
      <w:r w:rsidR="003914BE">
        <w:rPr>
          <w:rStyle w:val="FootnoteReference"/>
          <w:rFonts w:asciiTheme="majorHAnsi" w:hAnsiTheme="majorHAnsi"/>
          <w:color w:val="111111"/>
        </w:rPr>
        <w:footnoteReference w:id="1"/>
      </w:r>
      <w:r>
        <w:rPr>
          <w:rFonts w:asciiTheme="majorHAnsi" w:hAnsiTheme="majorHAnsi"/>
          <w:color w:val="111111"/>
        </w:rPr>
        <w:t xml:space="preserve">  </w:t>
      </w:r>
    </w:p>
    <w:p w:rsidR="003914BE" w:rsidRDefault="003914BE" w:rsidP="00BF534B">
      <w:pPr>
        <w:pStyle w:val="NormalWeb"/>
        <w:shd w:val="clear" w:color="auto" w:fill="FFFFFF"/>
        <w:spacing w:before="0" w:beforeAutospacing="0" w:after="0" w:afterAutospacing="0" w:line="276" w:lineRule="auto"/>
        <w:textAlignment w:val="baseline"/>
        <w:rPr>
          <w:rFonts w:asciiTheme="majorHAnsi" w:hAnsiTheme="majorHAnsi"/>
          <w:color w:val="111111"/>
        </w:rPr>
      </w:pPr>
    </w:p>
    <w:p w:rsidR="002D6008" w:rsidRDefault="003914BE" w:rsidP="00BF534B">
      <w:pPr>
        <w:pStyle w:val="NormalWeb"/>
        <w:shd w:val="clear" w:color="auto" w:fill="FFFFFF"/>
        <w:spacing w:before="0" w:beforeAutospacing="0" w:after="0" w:afterAutospacing="0" w:line="276" w:lineRule="auto"/>
        <w:textAlignment w:val="baseline"/>
        <w:rPr>
          <w:rFonts w:asciiTheme="majorHAnsi" w:hAnsiTheme="majorHAnsi"/>
          <w:color w:val="111111"/>
        </w:rPr>
      </w:pPr>
      <w:r w:rsidRPr="002D6008">
        <w:rPr>
          <w:rFonts w:asciiTheme="majorHAnsi" w:hAnsiTheme="majorHAnsi"/>
          <w:color w:val="111111"/>
        </w:rPr>
        <w:t xml:space="preserve">Other studies have shown the affordability of devices is a factor, particularly in developing counties.  The Alliance for Affordable Internet notes </w:t>
      </w:r>
      <w:r w:rsidR="002D6008" w:rsidRPr="002D6008">
        <w:rPr>
          <w:rFonts w:asciiTheme="majorHAnsi" w:hAnsiTheme="majorHAnsi"/>
          <w:color w:val="111111"/>
        </w:rPr>
        <w:t>a reduction of taxes and duties is a way to reduce mobile handset prices, “</w:t>
      </w:r>
      <w:r w:rsidRPr="002D6008">
        <w:rPr>
          <w:rFonts w:asciiTheme="majorHAnsi" w:hAnsiTheme="majorHAnsi"/>
          <w:color w:val="333333"/>
        </w:rPr>
        <w:t xml:space="preserve">A large portion of the total cost of a smartphone results from import and sales taxes levied on the devices. Governments in some countries — most notably in Africa, where device costs have fallen least since 2008 — have </w:t>
      </w:r>
      <w:proofErr w:type="spellStart"/>
      <w:r w:rsidRPr="002D6008">
        <w:rPr>
          <w:rFonts w:asciiTheme="majorHAnsi" w:hAnsiTheme="majorHAnsi"/>
          <w:color w:val="333333"/>
        </w:rPr>
        <w:t>recognised</w:t>
      </w:r>
      <w:proofErr w:type="spellEnd"/>
      <w:r w:rsidRPr="002D6008">
        <w:rPr>
          <w:rFonts w:asciiTheme="majorHAnsi" w:hAnsiTheme="majorHAnsi"/>
          <w:color w:val="333333"/>
        </w:rPr>
        <w:t xml:space="preserve"> that reducing such taxes can lead to higher future tax revenues by boosting economic growth. Earlier this year, the government of Côte d’Ivoire, for example, took the bold decision to reduce taxation on smartphones from 26% to 6.6%. It is imperative that other governments take such steps and play their role in the proliferation of affordable smartphones.</w:t>
      </w:r>
      <w:r w:rsidR="002D6008" w:rsidRPr="002D6008">
        <w:rPr>
          <w:rFonts w:asciiTheme="majorHAnsi" w:hAnsiTheme="majorHAnsi"/>
          <w:color w:val="333333"/>
        </w:rPr>
        <w:t>”</w:t>
      </w:r>
      <w:r w:rsidR="002D6008" w:rsidRPr="002D6008">
        <w:rPr>
          <w:rStyle w:val="FootnoteReference"/>
          <w:rFonts w:asciiTheme="majorHAnsi" w:hAnsiTheme="majorHAnsi"/>
          <w:color w:val="333333"/>
        </w:rPr>
        <w:footnoteReference w:id="2"/>
      </w:r>
      <w:r w:rsidR="00BF357B" w:rsidRPr="002D6008">
        <w:rPr>
          <w:rFonts w:asciiTheme="majorHAnsi" w:hAnsiTheme="majorHAnsi"/>
          <w:color w:val="111111"/>
        </w:rPr>
        <w:t xml:space="preserve"> </w:t>
      </w:r>
    </w:p>
    <w:p w:rsidR="002D6008" w:rsidRDefault="002D6008" w:rsidP="00BF534B">
      <w:pPr>
        <w:pStyle w:val="NormalWeb"/>
        <w:shd w:val="clear" w:color="auto" w:fill="FFFFFF"/>
        <w:spacing w:before="0" w:beforeAutospacing="0" w:after="0" w:afterAutospacing="0" w:line="276" w:lineRule="auto"/>
        <w:textAlignment w:val="baseline"/>
        <w:rPr>
          <w:rFonts w:asciiTheme="majorHAnsi" w:hAnsiTheme="majorHAnsi"/>
          <w:color w:val="111111"/>
        </w:rPr>
      </w:pPr>
    </w:p>
    <w:p w:rsidR="00867DE0" w:rsidRDefault="002D6008" w:rsidP="00BF534B">
      <w:pPr>
        <w:pStyle w:val="NormalWeb"/>
        <w:shd w:val="clear" w:color="auto" w:fill="FFFFFF"/>
        <w:spacing w:before="0" w:beforeAutospacing="0" w:after="0" w:afterAutospacing="0" w:line="276" w:lineRule="auto"/>
        <w:textAlignment w:val="baseline"/>
        <w:rPr>
          <w:rFonts w:asciiTheme="majorHAnsi" w:hAnsiTheme="majorHAnsi"/>
          <w:color w:val="111111"/>
        </w:rPr>
      </w:pPr>
      <w:r>
        <w:rPr>
          <w:rFonts w:asciiTheme="majorHAnsi" w:hAnsiTheme="majorHAnsi"/>
          <w:color w:val="111111"/>
        </w:rPr>
        <w:t xml:space="preserve">Other </w:t>
      </w:r>
      <w:r w:rsidR="00867DE0">
        <w:rPr>
          <w:rFonts w:asciiTheme="majorHAnsi" w:hAnsiTheme="majorHAnsi"/>
          <w:color w:val="111111"/>
        </w:rPr>
        <w:t xml:space="preserve">methods to encourage economic efficiencies in </w:t>
      </w:r>
      <w:r w:rsidR="001E1874">
        <w:rPr>
          <w:rFonts w:asciiTheme="majorHAnsi" w:hAnsiTheme="majorHAnsi"/>
          <w:color w:val="111111"/>
        </w:rPr>
        <w:t xml:space="preserve">network </w:t>
      </w:r>
      <w:r w:rsidR="00867DE0">
        <w:rPr>
          <w:rFonts w:asciiTheme="majorHAnsi" w:hAnsiTheme="majorHAnsi"/>
          <w:color w:val="111111"/>
        </w:rPr>
        <w:t>equipment</w:t>
      </w:r>
      <w:r w:rsidR="001E1874">
        <w:rPr>
          <w:rFonts w:asciiTheme="majorHAnsi" w:hAnsiTheme="majorHAnsi"/>
          <w:color w:val="111111"/>
        </w:rPr>
        <w:t xml:space="preserve"> and end-user devices</w:t>
      </w:r>
      <w:r w:rsidR="00867DE0">
        <w:rPr>
          <w:rFonts w:asciiTheme="majorHAnsi" w:hAnsiTheme="majorHAnsi"/>
          <w:color w:val="111111"/>
        </w:rPr>
        <w:t xml:space="preserve"> </w:t>
      </w:r>
      <w:r w:rsidR="001E1874">
        <w:rPr>
          <w:rFonts w:asciiTheme="majorHAnsi" w:hAnsiTheme="majorHAnsi"/>
          <w:color w:val="111111"/>
        </w:rPr>
        <w:t>are</w:t>
      </w:r>
      <w:r w:rsidR="00867DE0">
        <w:rPr>
          <w:rFonts w:asciiTheme="majorHAnsi" w:hAnsiTheme="majorHAnsi"/>
          <w:color w:val="111111"/>
        </w:rPr>
        <w:t xml:space="preserve"> through global standards </w:t>
      </w:r>
      <w:r w:rsidR="00FD505D">
        <w:rPr>
          <w:rFonts w:asciiTheme="majorHAnsi" w:hAnsiTheme="majorHAnsi"/>
          <w:color w:val="111111"/>
        </w:rPr>
        <w:t>rather than regional or</w:t>
      </w:r>
      <w:r w:rsidR="00867DE0">
        <w:rPr>
          <w:rFonts w:asciiTheme="majorHAnsi" w:hAnsiTheme="majorHAnsi"/>
          <w:color w:val="111111"/>
        </w:rPr>
        <w:t xml:space="preserve"> country-specific standards</w:t>
      </w:r>
      <w:r w:rsidR="001E1874">
        <w:rPr>
          <w:rFonts w:asciiTheme="majorHAnsi" w:hAnsiTheme="majorHAnsi"/>
          <w:color w:val="111111"/>
        </w:rPr>
        <w:t>,</w:t>
      </w:r>
      <w:r w:rsidR="00867DE0">
        <w:rPr>
          <w:rFonts w:asciiTheme="majorHAnsi" w:hAnsiTheme="majorHAnsi"/>
          <w:color w:val="111111"/>
        </w:rPr>
        <w:t xml:space="preserve"> and uniform conformity assessment and certification procedures.  </w:t>
      </w:r>
      <w:r>
        <w:rPr>
          <w:rFonts w:asciiTheme="majorHAnsi" w:hAnsiTheme="majorHAnsi"/>
          <w:color w:val="111111"/>
        </w:rPr>
        <w:t xml:space="preserve">In its work on the digital economy, the G20 this year acknowledged the role of international standards for </w:t>
      </w:r>
      <w:r w:rsidR="0064013B">
        <w:rPr>
          <w:rFonts w:asciiTheme="majorHAnsi" w:hAnsiTheme="majorHAnsi"/>
          <w:color w:val="111111"/>
        </w:rPr>
        <w:t xml:space="preserve">information technology </w:t>
      </w:r>
      <w:r>
        <w:rPr>
          <w:rFonts w:asciiTheme="majorHAnsi" w:hAnsiTheme="majorHAnsi"/>
          <w:color w:val="111111"/>
        </w:rPr>
        <w:t xml:space="preserve">products and services.  “Development of standards should </w:t>
      </w:r>
      <w:r w:rsidR="00867DE0">
        <w:rPr>
          <w:rFonts w:asciiTheme="majorHAnsi" w:hAnsiTheme="majorHAnsi"/>
          <w:color w:val="111111"/>
        </w:rPr>
        <w:t>be industry-led, based on principles of openness, transparency and consensus, and standards should not act as a barrier to trade, competition, or innovation.”  In the areas of conformity assessment the G20 called on members to “strengthen their cooperation and communication of conformity assessment procedures, cert</w:t>
      </w:r>
      <w:r w:rsidR="001E1874">
        <w:rPr>
          <w:rFonts w:asciiTheme="majorHAnsi" w:hAnsiTheme="majorHAnsi"/>
          <w:color w:val="111111"/>
        </w:rPr>
        <w:t>i</w:t>
      </w:r>
      <w:r w:rsidR="00867DE0">
        <w:rPr>
          <w:rFonts w:asciiTheme="majorHAnsi" w:hAnsiTheme="majorHAnsi"/>
          <w:color w:val="111111"/>
        </w:rPr>
        <w:t>fications and accreditation.”</w:t>
      </w:r>
      <w:r w:rsidR="001E1874">
        <w:rPr>
          <w:rStyle w:val="FootnoteReference"/>
          <w:rFonts w:asciiTheme="majorHAnsi" w:hAnsiTheme="majorHAnsi"/>
          <w:color w:val="111111"/>
        </w:rPr>
        <w:footnoteReference w:id="3"/>
      </w:r>
    </w:p>
    <w:p w:rsidR="00BF357B" w:rsidRDefault="00BF357B" w:rsidP="00BF534B">
      <w:pPr>
        <w:pStyle w:val="NormalWeb"/>
        <w:shd w:val="clear" w:color="auto" w:fill="FFFFFF"/>
        <w:spacing w:before="0" w:beforeAutospacing="0" w:after="0" w:afterAutospacing="0" w:line="276" w:lineRule="auto"/>
        <w:textAlignment w:val="baseline"/>
        <w:rPr>
          <w:rFonts w:asciiTheme="majorHAnsi" w:hAnsiTheme="majorHAnsi"/>
          <w:color w:val="111111"/>
        </w:rPr>
      </w:pPr>
    </w:p>
    <w:p w:rsidR="00661A48" w:rsidRDefault="00661A48" w:rsidP="00661A48">
      <w:pPr>
        <w:spacing w:before="0"/>
        <w:rPr>
          <w:b/>
          <w:color w:val="111111"/>
        </w:rPr>
      </w:pPr>
      <w:r>
        <w:rPr>
          <w:b/>
          <w:color w:val="111111"/>
        </w:rPr>
        <w:t>Toward an Enabling Environment to Build Confidence and Security in the Use of the Internet</w:t>
      </w:r>
    </w:p>
    <w:p w:rsidR="00661A48" w:rsidRDefault="00661A48" w:rsidP="00661A48">
      <w:pPr>
        <w:spacing w:before="0"/>
        <w:rPr>
          <w:b/>
          <w:color w:val="111111"/>
        </w:rPr>
      </w:pPr>
    </w:p>
    <w:p w:rsidR="00661A48" w:rsidRDefault="006D0195" w:rsidP="00661A48">
      <w:pPr>
        <w:spacing w:before="0"/>
        <w:rPr>
          <w:color w:val="111111"/>
        </w:rPr>
      </w:pPr>
      <w:r>
        <w:rPr>
          <w:color w:val="111111"/>
        </w:rPr>
        <w:t xml:space="preserve">The </w:t>
      </w:r>
      <w:r w:rsidR="00F40E65">
        <w:rPr>
          <w:color w:val="111111"/>
        </w:rPr>
        <w:t>digital community</w:t>
      </w:r>
      <w:r>
        <w:rPr>
          <w:color w:val="111111"/>
        </w:rPr>
        <w:t xml:space="preserve"> is</w:t>
      </w:r>
      <w:r w:rsidR="00F40E65">
        <w:rPr>
          <w:color w:val="111111"/>
        </w:rPr>
        <w:t xml:space="preserve"> </w:t>
      </w:r>
      <w:r>
        <w:rPr>
          <w:color w:val="111111"/>
        </w:rPr>
        <w:t>committed to a</w:t>
      </w:r>
      <w:r w:rsidR="00F40E65">
        <w:rPr>
          <w:color w:val="111111"/>
        </w:rPr>
        <w:t>n</w:t>
      </w:r>
      <w:r>
        <w:rPr>
          <w:color w:val="111111"/>
        </w:rPr>
        <w:t xml:space="preserve"> </w:t>
      </w:r>
      <w:r w:rsidR="00F40E65">
        <w:rPr>
          <w:color w:val="111111"/>
        </w:rPr>
        <w:t xml:space="preserve">open, reliable, and </w:t>
      </w:r>
      <w:r>
        <w:rPr>
          <w:color w:val="111111"/>
        </w:rPr>
        <w:t xml:space="preserve">interoperable </w:t>
      </w:r>
      <w:r w:rsidR="00F40E65">
        <w:rPr>
          <w:color w:val="111111"/>
        </w:rPr>
        <w:t xml:space="preserve">Internet. </w:t>
      </w:r>
      <w:r w:rsidR="00661A48" w:rsidRPr="00661A48">
        <w:rPr>
          <w:color w:val="111111"/>
        </w:rPr>
        <w:t xml:space="preserve">Consumer and </w:t>
      </w:r>
      <w:r w:rsidR="00661A48">
        <w:rPr>
          <w:color w:val="111111"/>
        </w:rPr>
        <w:t xml:space="preserve">business confidence is </w:t>
      </w:r>
      <w:r w:rsidR="00F40E65">
        <w:rPr>
          <w:color w:val="111111"/>
        </w:rPr>
        <w:t xml:space="preserve">now </w:t>
      </w:r>
      <w:r w:rsidR="00661A48">
        <w:rPr>
          <w:color w:val="111111"/>
        </w:rPr>
        <w:t>a foundational element for the continued success of the Internet and the growth of the digital economy.</w:t>
      </w:r>
      <w:r w:rsidR="006441E1">
        <w:rPr>
          <w:color w:val="111111"/>
        </w:rPr>
        <w:t xml:space="preserve">  Two critical elements to achieving confidence fall into the categories of developing a strong workforce with the expertise and skills to manage the digital ecosystem and a risk management approach to security.   </w:t>
      </w:r>
    </w:p>
    <w:p w:rsidR="00F111A5" w:rsidRDefault="00F111A5" w:rsidP="00F111A5">
      <w:pPr>
        <w:rPr>
          <w:bCs/>
          <w:lang w:val="en"/>
        </w:rPr>
      </w:pPr>
      <w:r>
        <w:rPr>
          <w:bCs/>
          <w:lang w:val="en"/>
        </w:rPr>
        <w:t xml:space="preserve">The United States promotes a whole-of-community approach to risk management, security, and resilience for cyber threats.  A whole-of-community approach involves partnership </w:t>
      </w:r>
      <w:r>
        <w:rPr>
          <w:bCs/>
          <w:lang w:val="en"/>
        </w:rPr>
        <w:lastRenderedPageBreak/>
        <w:t xml:space="preserve">between public, private, and non-profit sectors, and a clear understanding of the risks collectively faced. </w:t>
      </w:r>
    </w:p>
    <w:p w:rsidR="00F111A5" w:rsidRDefault="00F111A5" w:rsidP="0050139A">
      <w:pPr>
        <w:rPr>
          <w:color w:val="111111"/>
        </w:rPr>
      </w:pPr>
      <w:r>
        <w:t>An important element of this approach is the National Institute of Standards and Technology (NIST) Framework for Improving Critical Infrastructure Cybersecurity (the Framework), a voluntary framework for reducing cyber risks to critical infrastructure.</w:t>
      </w:r>
      <w:r>
        <w:rPr>
          <w:rStyle w:val="FootnoteReference"/>
        </w:rPr>
        <w:footnoteReference w:id="4"/>
      </w:r>
      <w:r>
        <w:t xml:space="preserve"> It was developed through a collaborative process, led by NIST, in which stakeholder input played a significant role in shaping the process and the final document. The Framework is being implemented in a host of critical infrastructure sectors, government departments and agencies, and organizations ranging from multinationals to small businesses.</w:t>
      </w:r>
      <w:r>
        <w:rPr>
          <w:bCs/>
          <w:lang w:val="en"/>
        </w:rPr>
        <w:t xml:space="preserve">  The U.S. Government is also partnering internationally to promote a risk management approach to cybersecurity by promoting the Framework’s global adoption.</w:t>
      </w:r>
      <w:r>
        <w:rPr>
          <w:color w:val="111111"/>
        </w:rPr>
        <w:t xml:space="preserve"> </w:t>
      </w:r>
    </w:p>
    <w:p w:rsidR="00F111A5" w:rsidRDefault="00F111A5" w:rsidP="00661A48">
      <w:pPr>
        <w:spacing w:before="0"/>
        <w:rPr>
          <w:color w:val="111111"/>
        </w:rPr>
      </w:pPr>
    </w:p>
    <w:p w:rsidR="00661A48" w:rsidRPr="00A73A66" w:rsidRDefault="00661A48" w:rsidP="00661A48">
      <w:pPr>
        <w:spacing w:before="0"/>
        <w:rPr>
          <w:i/>
          <w:color w:val="111111"/>
        </w:rPr>
      </w:pPr>
      <w:r>
        <w:rPr>
          <w:color w:val="111111"/>
        </w:rPr>
        <w:t xml:space="preserve">Industry and government are increasingly embracing a risk management approach to digital security.  </w:t>
      </w:r>
      <w:r w:rsidR="0064013B">
        <w:rPr>
          <w:color w:val="111111"/>
        </w:rPr>
        <w:t xml:space="preserve">Last year, </w:t>
      </w:r>
      <w:r>
        <w:rPr>
          <w:color w:val="111111"/>
        </w:rPr>
        <w:t xml:space="preserve">OECD </w:t>
      </w:r>
      <w:r w:rsidR="0064013B">
        <w:rPr>
          <w:color w:val="111111"/>
        </w:rPr>
        <w:t xml:space="preserve">members agreed to </w:t>
      </w:r>
      <w:r>
        <w:rPr>
          <w:color w:val="111111"/>
        </w:rPr>
        <w:t xml:space="preserve">a comprehensive guide </w:t>
      </w:r>
      <w:r w:rsidR="00FD505D">
        <w:rPr>
          <w:color w:val="111111"/>
        </w:rPr>
        <w:t xml:space="preserve">for the management of digital security risk aimed at optimizing the economic and social benefits of digital openness, the </w:t>
      </w:r>
      <w:hyperlink r:id="rId17" w:history="1">
        <w:r w:rsidR="00FD505D">
          <w:rPr>
            <w:rStyle w:val="Hyperlink"/>
            <w:i/>
          </w:rPr>
          <w:t>Digital Security Risk Management for Economic and Social Prosperity</w:t>
        </w:r>
      </w:hyperlink>
      <w:r w:rsidR="00FD505D">
        <w:rPr>
          <w:i/>
          <w:color w:val="111111"/>
        </w:rPr>
        <w:t xml:space="preserve">.  </w:t>
      </w:r>
    </w:p>
    <w:p w:rsidR="00943277" w:rsidRDefault="00943277" w:rsidP="00661A48">
      <w:pPr>
        <w:spacing w:before="0"/>
        <w:rPr>
          <w:color w:val="111111"/>
        </w:rPr>
      </w:pPr>
    </w:p>
    <w:p w:rsidR="00F111A5" w:rsidRDefault="00F111A5" w:rsidP="00F111A5">
      <w:pPr>
        <w:spacing w:before="0"/>
        <w:rPr>
          <w:color w:val="111111"/>
        </w:rPr>
      </w:pPr>
      <w:r>
        <w:rPr>
          <w:color w:val="111111"/>
        </w:rPr>
        <w:t>The sc</w:t>
      </w:r>
      <w:bookmarkStart w:id="3" w:name="_GoBack"/>
      <w:bookmarkEnd w:id="3"/>
      <w:r>
        <w:rPr>
          <w:color w:val="111111"/>
        </w:rPr>
        <w:t xml:space="preserve">ope of threats that endanger confidence in the security of Internet usage are diverse and growing, and these can harm governments, users, as well as companies.  These various stakeholders may face some threats that are similar, but may have divergent needs.  They also can bring a wealth of diverse expertise, experiences, and capabilities to the dialogue on security and confidence.  Joint collaboration among all stakeholders to address vulnerabilities is likely to find the most effective solutions to ensure that all can trust </w:t>
      </w:r>
      <w:r w:rsidR="000E1D63">
        <w:rPr>
          <w:color w:val="111111"/>
        </w:rPr>
        <w:t xml:space="preserve">that </w:t>
      </w:r>
      <w:r>
        <w:rPr>
          <w:color w:val="111111"/>
        </w:rPr>
        <w:t>their interactions online are secure.</w:t>
      </w:r>
    </w:p>
    <w:p w:rsidR="00F111A5" w:rsidRDefault="00F111A5" w:rsidP="00661A48">
      <w:pPr>
        <w:spacing w:before="0"/>
        <w:rPr>
          <w:color w:val="111111"/>
        </w:rPr>
      </w:pPr>
    </w:p>
    <w:p w:rsidR="00F111A5" w:rsidRPr="00943277" w:rsidRDefault="00F111A5" w:rsidP="00661A48">
      <w:pPr>
        <w:spacing w:before="0"/>
        <w:rPr>
          <w:color w:val="111111"/>
        </w:rPr>
      </w:pPr>
    </w:p>
    <w:p w:rsidR="00943277" w:rsidRDefault="00943277" w:rsidP="00943277">
      <w:pPr>
        <w:spacing w:before="0"/>
        <w:rPr>
          <w:b/>
          <w:color w:val="111111"/>
        </w:rPr>
      </w:pPr>
      <w:r>
        <w:rPr>
          <w:b/>
          <w:color w:val="111111"/>
        </w:rPr>
        <w:t>Role of Governments in Building an Enabling Environment</w:t>
      </w:r>
    </w:p>
    <w:p w:rsidR="00943277" w:rsidRDefault="00943277" w:rsidP="00943277">
      <w:pPr>
        <w:spacing w:before="0"/>
        <w:rPr>
          <w:b/>
          <w:color w:val="111111"/>
        </w:rPr>
      </w:pPr>
    </w:p>
    <w:p w:rsidR="00434FC3" w:rsidRDefault="00943277" w:rsidP="00943277">
      <w:pPr>
        <w:spacing w:before="0"/>
        <w:rPr>
          <w:color w:val="111111"/>
        </w:rPr>
      </w:pPr>
      <w:r>
        <w:rPr>
          <w:color w:val="111111"/>
        </w:rPr>
        <w:t>Governments play an important role in developing a regulatory environment conducive to investment</w:t>
      </w:r>
      <w:r w:rsidR="008372E0">
        <w:rPr>
          <w:color w:val="111111"/>
        </w:rPr>
        <w:t xml:space="preserve"> and competition.  At the same time, governments are responsible for ensuring    </w:t>
      </w:r>
      <w:r w:rsidR="00434FC3">
        <w:rPr>
          <w:color w:val="111111"/>
        </w:rPr>
        <w:t>respect for human rights and freedom of expression.</w:t>
      </w:r>
    </w:p>
    <w:p w:rsidR="00434FC3" w:rsidRDefault="00434FC3" w:rsidP="00943277">
      <w:pPr>
        <w:spacing w:before="0"/>
        <w:rPr>
          <w:color w:val="111111"/>
        </w:rPr>
      </w:pPr>
    </w:p>
    <w:p w:rsidR="00021767" w:rsidRDefault="00434FC3" w:rsidP="00943277">
      <w:pPr>
        <w:spacing w:before="0"/>
        <w:rPr>
          <w:color w:val="111111"/>
        </w:rPr>
      </w:pPr>
      <w:r>
        <w:rPr>
          <w:color w:val="111111"/>
        </w:rPr>
        <w:t xml:space="preserve">While </w:t>
      </w:r>
      <w:r w:rsidR="00382160">
        <w:rPr>
          <w:color w:val="111111"/>
        </w:rPr>
        <w:t>promoting</w:t>
      </w:r>
      <w:r w:rsidR="00382160">
        <w:rPr>
          <w:color w:val="111111"/>
        </w:rPr>
        <w:t xml:space="preserve"> </w:t>
      </w:r>
      <w:r>
        <w:rPr>
          <w:color w:val="111111"/>
        </w:rPr>
        <w:t xml:space="preserve">gender </w:t>
      </w:r>
      <w:r w:rsidR="00021767">
        <w:rPr>
          <w:color w:val="111111"/>
        </w:rPr>
        <w:t>equality and access to persons with disabilities are issues many stakeholders can contribute to, government can be in a position to set priorities and support policies and programs that pave the way for these important groups.</w:t>
      </w:r>
    </w:p>
    <w:p w:rsidR="00021767" w:rsidRDefault="00021767" w:rsidP="00943277">
      <w:pPr>
        <w:spacing w:before="0"/>
        <w:rPr>
          <w:color w:val="111111"/>
        </w:rPr>
      </w:pPr>
    </w:p>
    <w:p w:rsidR="004D7EAA" w:rsidRDefault="004D7EAA" w:rsidP="00943277">
      <w:pPr>
        <w:spacing w:before="0"/>
        <w:rPr>
          <w:color w:val="111111"/>
        </w:rPr>
      </w:pPr>
      <w:r>
        <w:rPr>
          <w:color w:val="111111"/>
        </w:rPr>
        <w:t>Good g</w:t>
      </w:r>
      <w:r w:rsidR="00021767">
        <w:rPr>
          <w:color w:val="111111"/>
        </w:rPr>
        <w:t>overnment</w:t>
      </w:r>
      <w:r>
        <w:rPr>
          <w:color w:val="111111"/>
        </w:rPr>
        <w:t xml:space="preserve"> practices are as important in creating an enabling environment for broadband infrastructures as they are in other areas.  Investors and financing agencies look for transparent and clear rulemaking processes, available for public input; consistent legal and regulatory enforcement including in the areas of consumer protection and anti-competition; and a stable tax and financial environment.  In the case of infrastructure deployment, clear rules regarding the use and protection of the public right of way, as well as expedited local permitting processes are essential.</w:t>
      </w:r>
    </w:p>
    <w:p w:rsidR="004D7EAA" w:rsidRDefault="004D7EAA" w:rsidP="00943277">
      <w:pPr>
        <w:spacing w:before="0"/>
        <w:rPr>
          <w:color w:val="111111"/>
        </w:rPr>
      </w:pPr>
    </w:p>
    <w:p w:rsidR="004D7EAA" w:rsidRPr="004D7EAA" w:rsidRDefault="004D7EAA" w:rsidP="00943277">
      <w:pPr>
        <w:spacing w:before="0"/>
        <w:rPr>
          <w:b/>
          <w:color w:val="111111"/>
        </w:rPr>
      </w:pPr>
      <w:r w:rsidRPr="004D7EAA">
        <w:rPr>
          <w:b/>
          <w:color w:val="111111"/>
        </w:rPr>
        <w:lastRenderedPageBreak/>
        <w:t>Conclusion</w:t>
      </w:r>
    </w:p>
    <w:p w:rsidR="004D7EAA" w:rsidRDefault="004D7EAA" w:rsidP="00943277">
      <w:pPr>
        <w:spacing w:before="0"/>
        <w:rPr>
          <w:color w:val="111111"/>
        </w:rPr>
      </w:pPr>
    </w:p>
    <w:p w:rsidR="004D7EAA" w:rsidRDefault="004D7EAA" w:rsidP="00943277">
      <w:pPr>
        <w:spacing w:before="0"/>
        <w:rPr>
          <w:color w:val="111111"/>
        </w:rPr>
      </w:pPr>
      <w:r>
        <w:rPr>
          <w:color w:val="111111"/>
        </w:rPr>
        <w:t xml:space="preserve">The United States </w:t>
      </w:r>
      <w:r w:rsidR="00A73A66">
        <w:rPr>
          <w:color w:val="111111"/>
        </w:rPr>
        <w:t>is pleased that the Open Consultation and the Council Working Group chose to</w:t>
      </w:r>
      <w:r>
        <w:rPr>
          <w:color w:val="111111"/>
        </w:rPr>
        <w:t xml:space="preserve"> </w:t>
      </w:r>
      <w:r w:rsidR="00A73A66">
        <w:rPr>
          <w:color w:val="111111"/>
        </w:rPr>
        <w:t xml:space="preserve">explore </w:t>
      </w:r>
      <w:r>
        <w:rPr>
          <w:color w:val="111111"/>
        </w:rPr>
        <w:t>these themes.  The topics discussed are foundational to creating a vibrant digital ecosystem that will lead to innovation, economic growth and social benefits.  We must get these foundational issues right to truly leverage the potential of the Internet.</w:t>
      </w:r>
    </w:p>
    <w:sectPr w:rsidR="004D7EAA" w:rsidSect="006141F3">
      <w:headerReference w:type="default" r:id="rId18"/>
      <w:pgSz w:w="11907" w:h="16840"/>
      <w:pgMar w:top="1418" w:right="1418" w:bottom="1418" w:left="1418"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64F3" w:rsidRDefault="00A864F3">
      <w:pPr>
        <w:spacing w:before="0"/>
      </w:pPr>
      <w:r>
        <w:separator/>
      </w:r>
    </w:p>
  </w:endnote>
  <w:endnote w:type="continuationSeparator" w:id="0">
    <w:p w:rsidR="00A864F3" w:rsidRDefault="00A864F3">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64F3" w:rsidRDefault="00A864F3">
      <w:pPr>
        <w:spacing w:before="0"/>
      </w:pPr>
      <w:r>
        <w:separator/>
      </w:r>
    </w:p>
  </w:footnote>
  <w:footnote w:type="continuationSeparator" w:id="0">
    <w:p w:rsidR="00A864F3" w:rsidRDefault="00A864F3">
      <w:pPr>
        <w:spacing w:before="0"/>
      </w:pPr>
      <w:r>
        <w:continuationSeparator/>
      </w:r>
    </w:p>
  </w:footnote>
  <w:footnote w:id="1">
    <w:p w:rsidR="00A864F3" w:rsidRPr="003914BE" w:rsidRDefault="00A864F3">
      <w:pPr>
        <w:pStyle w:val="FootnoteText"/>
        <w:rPr>
          <w:lang w:val="en-US"/>
        </w:rPr>
      </w:pPr>
      <w:r>
        <w:rPr>
          <w:rStyle w:val="FootnoteReference"/>
        </w:rPr>
        <w:footnoteRef/>
      </w:r>
      <w:r>
        <w:t xml:space="preserve"> </w:t>
      </w:r>
      <w:r>
        <w:rPr>
          <w:lang w:val="en-US"/>
        </w:rPr>
        <w:t>The Digital Divide and Economic Benefits of Broadband Access, U.S. Council of Economic Advisers, March 2016</w:t>
      </w:r>
    </w:p>
  </w:footnote>
  <w:footnote w:id="2">
    <w:p w:rsidR="00A864F3" w:rsidRPr="002D6008" w:rsidRDefault="00A864F3">
      <w:pPr>
        <w:pStyle w:val="FootnoteText"/>
        <w:rPr>
          <w:lang w:val="en-US"/>
        </w:rPr>
      </w:pPr>
      <w:r>
        <w:rPr>
          <w:rStyle w:val="FootnoteReference"/>
        </w:rPr>
        <w:footnoteRef/>
      </w:r>
      <w:r>
        <w:t xml:space="preserve"> 2015-16 Affordability Report, </w:t>
      </w:r>
      <w:r>
        <w:rPr>
          <w:lang w:val="en-US"/>
        </w:rPr>
        <w:t>Alliance for Affordable Internet.</w:t>
      </w:r>
    </w:p>
  </w:footnote>
  <w:footnote w:id="3">
    <w:p w:rsidR="00A864F3" w:rsidRPr="001E1874" w:rsidRDefault="00A864F3">
      <w:pPr>
        <w:pStyle w:val="FootnoteText"/>
        <w:rPr>
          <w:lang w:val="en-US"/>
        </w:rPr>
      </w:pPr>
      <w:r>
        <w:rPr>
          <w:rStyle w:val="FootnoteReference"/>
        </w:rPr>
        <w:footnoteRef/>
      </w:r>
      <w:r>
        <w:t xml:space="preserve"> </w:t>
      </w:r>
      <w:r>
        <w:rPr>
          <w:lang w:val="en-US"/>
        </w:rPr>
        <w:t>G20 New Industrial Action Plan</w:t>
      </w:r>
    </w:p>
  </w:footnote>
  <w:footnote w:id="4">
    <w:p w:rsidR="00F111A5" w:rsidRDefault="00F111A5" w:rsidP="00F111A5">
      <w:pPr>
        <w:spacing w:before="0"/>
        <w:rPr>
          <w:color w:val="1F497D"/>
          <w:sz w:val="20"/>
          <w:szCs w:val="20"/>
          <w:lang w:val="en-US"/>
        </w:rPr>
      </w:pPr>
      <w:r>
        <w:rPr>
          <w:rStyle w:val="FootnoteReference"/>
          <w:sz w:val="20"/>
        </w:rPr>
        <w:footnoteRef/>
      </w:r>
      <w:r>
        <w:rPr>
          <w:sz w:val="20"/>
        </w:rPr>
        <w:t xml:space="preserve"> See the Framework for Improving Critical Infrastructure Cybersecurity at </w:t>
      </w:r>
      <w:hyperlink r:id="rId1" w:history="1">
        <w:r>
          <w:rPr>
            <w:rStyle w:val="Hyperlink"/>
            <w:sz w:val="20"/>
          </w:rPr>
          <w:t>http://www.nist.gov/cyberframework/</w:t>
        </w:r>
      </w:hyperlink>
      <w:r>
        <w:rPr>
          <w:color w:val="1F497D"/>
          <w:sz w:val="20"/>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64F3" w:rsidRDefault="00A14C8B">
    <w:pPr>
      <w:pStyle w:val="Normal1"/>
      <w:spacing w:before="0"/>
      <w:jc w:val="center"/>
    </w:pPr>
    <w:r>
      <w:fldChar w:fldCharType="begin"/>
    </w:r>
    <w:r>
      <w:instrText>PAGE</w:instrText>
    </w:r>
    <w:r>
      <w:fldChar w:fldCharType="separate"/>
    </w:r>
    <w:r w:rsidR="00382160">
      <w:rPr>
        <w:noProof/>
      </w:rPr>
      <w:t>1</w:t>
    </w:r>
    <w:r>
      <w:rPr>
        <w:noProof/>
      </w:rPr>
      <w:fldChar w:fldCharType="end"/>
    </w:r>
  </w:p>
  <w:p w:rsidR="00A864F3" w:rsidRDefault="00A864F3">
    <w:pPr>
      <w:pStyle w:val="Normal1"/>
      <w:spacing w:before="0"/>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0D627C"/>
    <w:multiLevelType w:val="multilevel"/>
    <w:tmpl w:val="FB743638"/>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
    <w:nsid w:val="117C018D"/>
    <w:multiLevelType w:val="hybridMultilevel"/>
    <w:tmpl w:val="75FCB2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C8004B2"/>
    <w:multiLevelType w:val="hybridMultilevel"/>
    <w:tmpl w:val="7A4C4A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0576F08"/>
    <w:multiLevelType w:val="hybridMultilevel"/>
    <w:tmpl w:val="9D66D1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7511B42"/>
    <w:multiLevelType w:val="hybridMultilevel"/>
    <w:tmpl w:val="B8B801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B0A4F13"/>
    <w:multiLevelType w:val="multilevel"/>
    <w:tmpl w:val="BD26122C"/>
    <w:lvl w:ilvl="0">
      <w:start w:val="1"/>
      <w:numFmt w:val="bullet"/>
      <w:lvlText w:val="●"/>
      <w:lvlJc w:val="left"/>
      <w:pPr>
        <w:ind w:left="720" w:firstLine="360"/>
      </w:pPr>
      <w:rPr>
        <w:rFonts w:ascii="Arial" w:eastAsia="Arial" w:hAnsi="Arial" w:cs="Courier New"/>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6">
    <w:nsid w:val="3F835140"/>
    <w:multiLevelType w:val="multilevel"/>
    <w:tmpl w:val="8CDC7094"/>
    <w:lvl w:ilvl="0">
      <w:start w:val="1"/>
      <w:numFmt w:val="bullet"/>
      <w:lvlText w:val="●"/>
      <w:lvlJc w:val="left"/>
      <w:pPr>
        <w:ind w:left="720" w:firstLine="360"/>
      </w:pPr>
      <w:rPr>
        <w:rFonts w:ascii="Arial" w:eastAsia="Arial" w:hAnsi="Arial" w:cs="Courier New"/>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7">
    <w:nsid w:val="45936BB7"/>
    <w:multiLevelType w:val="hybridMultilevel"/>
    <w:tmpl w:val="1A6CE9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AFA15B7"/>
    <w:multiLevelType w:val="hybridMultilevel"/>
    <w:tmpl w:val="A4A4D7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672169C"/>
    <w:multiLevelType w:val="hybridMultilevel"/>
    <w:tmpl w:val="2FB6CEC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758128F"/>
    <w:multiLevelType w:val="hybridMultilevel"/>
    <w:tmpl w:val="6AEC76C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586C7170"/>
    <w:multiLevelType w:val="hybridMultilevel"/>
    <w:tmpl w:val="6E3A269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24539C3"/>
    <w:multiLevelType w:val="hybridMultilevel"/>
    <w:tmpl w:val="B81236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5"/>
  </w:num>
  <w:num w:numId="3">
    <w:abstractNumId w:val="6"/>
  </w:num>
  <w:num w:numId="4">
    <w:abstractNumId w:val="7"/>
  </w:num>
  <w:num w:numId="5">
    <w:abstractNumId w:val="1"/>
  </w:num>
  <w:num w:numId="6">
    <w:abstractNumId w:val="4"/>
  </w:num>
  <w:num w:numId="7">
    <w:abstractNumId w:val="8"/>
  </w:num>
  <w:num w:numId="8">
    <w:abstractNumId w:val="3"/>
  </w:num>
  <w:num w:numId="9">
    <w:abstractNumId w:val="11"/>
  </w:num>
  <w:num w:numId="10">
    <w:abstractNumId w:val="2"/>
  </w:num>
  <w:num w:numId="11">
    <w:abstractNumId w:val="9"/>
  </w:num>
  <w:num w:numId="12">
    <w:abstractNumId w:val="10"/>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isplayBackgroundShape/>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3316"/>
    <w:rsid w:val="00021767"/>
    <w:rsid w:val="000D3325"/>
    <w:rsid w:val="000E1D63"/>
    <w:rsid w:val="000E655F"/>
    <w:rsid w:val="001720C8"/>
    <w:rsid w:val="00187550"/>
    <w:rsid w:val="001D3316"/>
    <w:rsid w:val="001E1874"/>
    <w:rsid w:val="002D3A64"/>
    <w:rsid w:val="002D6008"/>
    <w:rsid w:val="00336B5D"/>
    <w:rsid w:val="00382160"/>
    <w:rsid w:val="003914BE"/>
    <w:rsid w:val="00434FC3"/>
    <w:rsid w:val="00497440"/>
    <w:rsid w:val="004D073B"/>
    <w:rsid w:val="004D7EAA"/>
    <w:rsid w:val="0050139A"/>
    <w:rsid w:val="0051778F"/>
    <w:rsid w:val="0052617B"/>
    <w:rsid w:val="005E077C"/>
    <w:rsid w:val="006141F3"/>
    <w:rsid w:val="0064013B"/>
    <w:rsid w:val="006441E1"/>
    <w:rsid w:val="00661A48"/>
    <w:rsid w:val="00665980"/>
    <w:rsid w:val="006D0195"/>
    <w:rsid w:val="00770E27"/>
    <w:rsid w:val="007B6204"/>
    <w:rsid w:val="007D218C"/>
    <w:rsid w:val="008372E0"/>
    <w:rsid w:val="00867DE0"/>
    <w:rsid w:val="008D6055"/>
    <w:rsid w:val="00943277"/>
    <w:rsid w:val="009E4C4C"/>
    <w:rsid w:val="009F065B"/>
    <w:rsid w:val="009F199B"/>
    <w:rsid w:val="00A14C8B"/>
    <w:rsid w:val="00A73A66"/>
    <w:rsid w:val="00A864F3"/>
    <w:rsid w:val="00B10E78"/>
    <w:rsid w:val="00B15652"/>
    <w:rsid w:val="00BC3269"/>
    <w:rsid w:val="00BF357B"/>
    <w:rsid w:val="00BF534B"/>
    <w:rsid w:val="00C57997"/>
    <w:rsid w:val="00C8619B"/>
    <w:rsid w:val="00CF3D7E"/>
    <w:rsid w:val="00CF639F"/>
    <w:rsid w:val="00D70625"/>
    <w:rsid w:val="00E53B4B"/>
    <w:rsid w:val="00E75897"/>
    <w:rsid w:val="00F111A5"/>
    <w:rsid w:val="00F40E65"/>
    <w:rsid w:val="00F67E0E"/>
    <w:rsid w:val="00F721F5"/>
    <w:rsid w:val="00FD505D"/>
  </w:rsids>
  <m:mathPr>
    <m:mathFont m:val="Cambria Math"/>
    <m:brkBin m:val="before"/>
    <m:brkBinSub m:val="--"/>
    <m:smallFrac/>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color w:val="000000"/>
        <w:sz w:val="24"/>
        <w:szCs w:val="24"/>
        <w:lang w:val="en-GB" w:eastAsia="en-US" w:bidi="ar-SA"/>
      </w:rPr>
    </w:rPrDefault>
    <w:pPrDefault>
      <w:pPr>
        <w:tabs>
          <w:tab w:val="left" w:pos="567"/>
          <w:tab w:val="left" w:pos="1134"/>
          <w:tab w:val="left" w:pos="1701"/>
          <w:tab w:val="left" w:pos="2268"/>
          <w:tab w:val="left" w:pos="2835"/>
        </w:tabs>
        <w:spacing w:before="120"/>
      </w:pPr>
    </w:pPrDefault>
  </w:docDefaults>
  <w:latentStyles w:defLockedState="0" w:defUIPriority="0" w:defSemiHidden="0" w:defUnhideWhenUsed="0" w:defQFormat="0" w:count="267"/>
  <w:style w:type="paragraph" w:default="1" w:styleId="Normal">
    <w:name w:val="Normal"/>
    <w:qFormat/>
  </w:style>
  <w:style w:type="paragraph" w:styleId="Heading1">
    <w:name w:val="heading 1"/>
    <w:basedOn w:val="Normal1"/>
    <w:next w:val="Normal1"/>
    <w:pPr>
      <w:keepNext/>
      <w:keepLines/>
      <w:spacing w:before="480"/>
      <w:ind w:left="567" w:hanging="567"/>
      <w:outlineLvl w:val="0"/>
    </w:pPr>
    <w:rPr>
      <w:b/>
      <w:sz w:val="28"/>
      <w:szCs w:val="28"/>
    </w:rPr>
  </w:style>
  <w:style w:type="paragraph" w:styleId="Heading2">
    <w:name w:val="heading 2"/>
    <w:basedOn w:val="Normal1"/>
    <w:next w:val="Normal1"/>
    <w:pPr>
      <w:keepNext/>
      <w:keepLines/>
      <w:spacing w:before="320"/>
      <w:ind w:left="567" w:hanging="567"/>
      <w:outlineLvl w:val="1"/>
    </w:pPr>
    <w:rPr>
      <w:b/>
    </w:rPr>
  </w:style>
  <w:style w:type="paragraph" w:styleId="Heading3">
    <w:name w:val="heading 3"/>
    <w:basedOn w:val="Normal1"/>
    <w:next w:val="Normal1"/>
    <w:pPr>
      <w:keepNext/>
      <w:keepLines/>
      <w:spacing w:before="200"/>
      <w:ind w:left="567" w:hanging="567"/>
      <w:outlineLvl w:val="2"/>
    </w:pPr>
    <w:rPr>
      <w:b/>
    </w:rPr>
  </w:style>
  <w:style w:type="paragraph" w:styleId="Heading4">
    <w:name w:val="heading 4"/>
    <w:basedOn w:val="Normal1"/>
    <w:next w:val="Normal1"/>
    <w:pPr>
      <w:keepNext/>
      <w:keepLines/>
      <w:spacing w:before="200"/>
      <w:ind w:left="1134" w:hanging="1134"/>
      <w:outlineLvl w:val="3"/>
    </w:pPr>
    <w:rPr>
      <w:b/>
    </w:rPr>
  </w:style>
  <w:style w:type="paragraph" w:styleId="Heading5">
    <w:name w:val="heading 5"/>
    <w:basedOn w:val="Normal1"/>
    <w:next w:val="Normal1"/>
    <w:pPr>
      <w:keepNext/>
      <w:keepLines/>
      <w:spacing w:before="200"/>
      <w:ind w:left="1134" w:hanging="1134"/>
      <w:outlineLvl w:val="4"/>
    </w:pPr>
    <w:rPr>
      <w:b/>
    </w:rPr>
  </w:style>
  <w:style w:type="paragraph" w:styleId="Heading6">
    <w:name w:val="heading 6"/>
    <w:basedOn w:val="Normal1"/>
    <w:next w:val="Normal1"/>
    <w:pPr>
      <w:keepNext/>
      <w:keepLines/>
      <w:spacing w:before="200"/>
      <w:ind w:left="1134" w:hanging="1134"/>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spacing w:before="480" w:after="120"/>
      <w:contextualSpacing/>
    </w:pPr>
    <w:rPr>
      <w:b/>
      <w:sz w:val="72"/>
      <w:szCs w:val="72"/>
    </w:rPr>
  </w:style>
  <w:style w:type="paragraph" w:styleId="Subtitle">
    <w:name w:val="Subtitle"/>
    <w:basedOn w:val="Normal1"/>
    <w:next w:val="Normal1"/>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character" w:styleId="Hyperlink">
    <w:name w:val="Hyperlink"/>
    <w:basedOn w:val="DefaultParagraphFont"/>
    <w:uiPriority w:val="99"/>
    <w:unhideWhenUsed/>
    <w:rsid w:val="009F199B"/>
    <w:rPr>
      <w:color w:val="0000FF" w:themeColor="hyperlink"/>
      <w:u w:val="single"/>
    </w:rPr>
  </w:style>
  <w:style w:type="paragraph" w:styleId="NoSpacing">
    <w:name w:val="No Spacing"/>
    <w:uiPriority w:val="1"/>
    <w:qFormat/>
    <w:rsid w:val="009F199B"/>
    <w:pPr>
      <w:spacing w:before="0"/>
    </w:pPr>
  </w:style>
  <w:style w:type="paragraph" w:styleId="BalloonText">
    <w:name w:val="Balloon Text"/>
    <w:basedOn w:val="Normal"/>
    <w:link w:val="BalloonTextChar"/>
    <w:uiPriority w:val="99"/>
    <w:semiHidden/>
    <w:unhideWhenUsed/>
    <w:rsid w:val="009F065B"/>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065B"/>
    <w:rPr>
      <w:rFonts w:ascii="Tahoma" w:hAnsi="Tahoma" w:cs="Tahoma"/>
      <w:sz w:val="16"/>
      <w:szCs w:val="16"/>
    </w:rPr>
  </w:style>
  <w:style w:type="paragraph" w:styleId="ListParagraph">
    <w:name w:val="List Paragraph"/>
    <w:basedOn w:val="Normal"/>
    <w:uiPriority w:val="34"/>
    <w:qFormat/>
    <w:rsid w:val="00B10E78"/>
    <w:pPr>
      <w:tabs>
        <w:tab w:val="clear" w:pos="567"/>
        <w:tab w:val="clear" w:pos="1134"/>
        <w:tab w:val="clear" w:pos="1701"/>
        <w:tab w:val="clear" w:pos="2268"/>
        <w:tab w:val="clear" w:pos="2835"/>
      </w:tabs>
      <w:spacing w:before="0"/>
      <w:ind w:left="720"/>
      <w:contextualSpacing/>
    </w:pPr>
    <w:rPr>
      <w:rFonts w:ascii="Times New Roman" w:eastAsia="Times New Roman" w:hAnsi="Times New Roman" w:cs="Times New Roman"/>
      <w:color w:val="auto"/>
      <w:lang w:val="en-US"/>
    </w:rPr>
  </w:style>
  <w:style w:type="paragraph" w:styleId="NormalWeb">
    <w:name w:val="Normal (Web)"/>
    <w:basedOn w:val="Normal"/>
    <w:uiPriority w:val="99"/>
    <w:unhideWhenUsed/>
    <w:rsid w:val="00BF534B"/>
    <w:pPr>
      <w:tabs>
        <w:tab w:val="clear" w:pos="567"/>
        <w:tab w:val="clear" w:pos="1134"/>
        <w:tab w:val="clear" w:pos="1701"/>
        <w:tab w:val="clear" w:pos="2268"/>
        <w:tab w:val="clear" w:pos="2835"/>
      </w:tabs>
      <w:spacing w:before="100" w:beforeAutospacing="1" w:after="100" w:afterAutospacing="1"/>
    </w:pPr>
    <w:rPr>
      <w:rFonts w:ascii="Times New Roman" w:eastAsia="Times New Roman" w:hAnsi="Times New Roman" w:cs="Times New Roman"/>
      <w:color w:val="auto"/>
      <w:lang w:val="en-US"/>
    </w:rPr>
  </w:style>
  <w:style w:type="paragraph" w:styleId="FootnoteText">
    <w:name w:val="footnote text"/>
    <w:basedOn w:val="Normal"/>
    <w:link w:val="FootnoteTextChar"/>
    <w:uiPriority w:val="99"/>
    <w:semiHidden/>
    <w:unhideWhenUsed/>
    <w:rsid w:val="003914BE"/>
    <w:pPr>
      <w:spacing w:before="0"/>
    </w:pPr>
    <w:rPr>
      <w:sz w:val="20"/>
      <w:szCs w:val="20"/>
    </w:rPr>
  </w:style>
  <w:style w:type="character" w:customStyle="1" w:styleId="FootnoteTextChar">
    <w:name w:val="Footnote Text Char"/>
    <w:basedOn w:val="DefaultParagraphFont"/>
    <w:link w:val="FootnoteText"/>
    <w:uiPriority w:val="99"/>
    <w:semiHidden/>
    <w:rsid w:val="003914BE"/>
    <w:rPr>
      <w:sz w:val="20"/>
      <w:szCs w:val="20"/>
    </w:rPr>
  </w:style>
  <w:style w:type="character" w:styleId="FootnoteReference">
    <w:name w:val="footnote reference"/>
    <w:basedOn w:val="DefaultParagraphFont"/>
    <w:semiHidden/>
    <w:unhideWhenUsed/>
    <w:rsid w:val="003914BE"/>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color w:val="000000"/>
        <w:sz w:val="24"/>
        <w:szCs w:val="24"/>
        <w:lang w:val="en-GB" w:eastAsia="en-US" w:bidi="ar-SA"/>
      </w:rPr>
    </w:rPrDefault>
    <w:pPrDefault>
      <w:pPr>
        <w:tabs>
          <w:tab w:val="left" w:pos="567"/>
          <w:tab w:val="left" w:pos="1134"/>
          <w:tab w:val="left" w:pos="1701"/>
          <w:tab w:val="left" w:pos="2268"/>
          <w:tab w:val="left" w:pos="2835"/>
        </w:tabs>
        <w:spacing w:before="120"/>
      </w:pPr>
    </w:pPrDefault>
  </w:docDefaults>
  <w:latentStyles w:defLockedState="0" w:defUIPriority="0" w:defSemiHidden="0" w:defUnhideWhenUsed="0" w:defQFormat="0" w:count="267"/>
  <w:style w:type="paragraph" w:default="1" w:styleId="Normal">
    <w:name w:val="Normal"/>
    <w:qFormat/>
  </w:style>
  <w:style w:type="paragraph" w:styleId="Heading1">
    <w:name w:val="heading 1"/>
    <w:basedOn w:val="Normal1"/>
    <w:next w:val="Normal1"/>
    <w:pPr>
      <w:keepNext/>
      <w:keepLines/>
      <w:spacing w:before="480"/>
      <w:ind w:left="567" w:hanging="567"/>
      <w:outlineLvl w:val="0"/>
    </w:pPr>
    <w:rPr>
      <w:b/>
      <w:sz w:val="28"/>
      <w:szCs w:val="28"/>
    </w:rPr>
  </w:style>
  <w:style w:type="paragraph" w:styleId="Heading2">
    <w:name w:val="heading 2"/>
    <w:basedOn w:val="Normal1"/>
    <w:next w:val="Normal1"/>
    <w:pPr>
      <w:keepNext/>
      <w:keepLines/>
      <w:spacing w:before="320"/>
      <w:ind w:left="567" w:hanging="567"/>
      <w:outlineLvl w:val="1"/>
    </w:pPr>
    <w:rPr>
      <w:b/>
    </w:rPr>
  </w:style>
  <w:style w:type="paragraph" w:styleId="Heading3">
    <w:name w:val="heading 3"/>
    <w:basedOn w:val="Normal1"/>
    <w:next w:val="Normal1"/>
    <w:pPr>
      <w:keepNext/>
      <w:keepLines/>
      <w:spacing w:before="200"/>
      <w:ind w:left="567" w:hanging="567"/>
      <w:outlineLvl w:val="2"/>
    </w:pPr>
    <w:rPr>
      <w:b/>
    </w:rPr>
  </w:style>
  <w:style w:type="paragraph" w:styleId="Heading4">
    <w:name w:val="heading 4"/>
    <w:basedOn w:val="Normal1"/>
    <w:next w:val="Normal1"/>
    <w:pPr>
      <w:keepNext/>
      <w:keepLines/>
      <w:spacing w:before="200"/>
      <w:ind w:left="1134" w:hanging="1134"/>
      <w:outlineLvl w:val="3"/>
    </w:pPr>
    <w:rPr>
      <w:b/>
    </w:rPr>
  </w:style>
  <w:style w:type="paragraph" w:styleId="Heading5">
    <w:name w:val="heading 5"/>
    <w:basedOn w:val="Normal1"/>
    <w:next w:val="Normal1"/>
    <w:pPr>
      <w:keepNext/>
      <w:keepLines/>
      <w:spacing w:before="200"/>
      <w:ind w:left="1134" w:hanging="1134"/>
      <w:outlineLvl w:val="4"/>
    </w:pPr>
    <w:rPr>
      <w:b/>
    </w:rPr>
  </w:style>
  <w:style w:type="paragraph" w:styleId="Heading6">
    <w:name w:val="heading 6"/>
    <w:basedOn w:val="Normal1"/>
    <w:next w:val="Normal1"/>
    <w:pPr>
      <w:keepNext/>
      <w:keepLines/>
      <w:spacing w:before="200"/>
      <w:ind w:left="1134" w:hanging="1134"/>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spacing w:before="480" w:after="120"/>
      <w:contextualSpacing/>
    </w:pPr>
    <w:rPr>
      <w:b/>
      <w:sz w:val="72"/>
      <w:szCs w:val="72"/>
    </w:rPr>
  </w:style>
  <w:style w:type="paragraph" w:styleId="Subtitle">
    <w:name w:val="Subtitle"/>
    <w:basedOn w:val="Normal1"/>
    <w:next w:val="Normal1"/>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character" w:styleId="Hyperlink">
    <w:name w:val="Hyperlink"/>
    <w:basedOn w:val="DefaultParagraphFont"/>
    <w:uiPriority w:val="99"/>
    <w:unhideWhenUsed/>
    <w:rsid w:val="009F199B"/>
    <w:rPr>
      <w:color w:val="0000FF" w:themeColor="hyperlink"/>
      <w:u w:val="single"/>
    </w:rPr>
  </w:style>
  <w:style w:type="paragraph" w:styleId="NoSpacing">
    <w:name w:val="No Spacing"/>
    <w:uiPriority w:val="1"/>
    <w:qFormat/>
    <w:rsid w:val="009F199B"/>
    <w:pPr>
      <w:spacing w:before="0"/>
    </w:pPr>
  </w:style>
  <w:style w:type="paragraph" w:styleId="BalloonText">
    <w:name w:val="Balloon Text"/>
    <w:basedOn w:val="Normal"/>
    <w:link w:val="BalloonTextChar"/>
    <w:uiPriority w:val="99"/>
    <w:semiHidden/>
    <w:unhideWhenUsed/>
    <w:rsid w:val="009F065B"/>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065B"/>
    <w:rPr>
      <w:rFonts w:ascii="Tahoma" w:hAnsi="Tahoma" w:cs="Tahoma"/>
      <w:sz w:val="16"/>
      <w:szCs w:val="16"/>
    </w:rPr>
  </w:style>
  <w:style w:type="paragraph" w:styleId="ListParagraph">
    <w:name w:val="List Paragraph"/>
    <w:basedOn w:val="Normal"/>
    <w:uiPriority w:val="34"/>
    <w:qFormat/>
    <w:rsid w:val="00B10E78"/>
    <w:pPr>
      <w:tabs>
        <w:tab w:val="clear" w:pos="567"/>
        <w:tab w:val="clear" w:pos="1134"/>
        <w:tab w:val="clear" w:pos="1701"/>
        <w:tab w:val="clear" w:pos="2268"/>
        <w:tab w:val="clear" w:pos="2835"/>
      </w:tabs>
      <w:spacing w:before="0"/>
      <w:ind w:left="720"/>
      <w:contextualSpacing/>
    </w:pPr>
    <w:rPr>
      <w:rFonts w:ascii="Times New Roman" w:eastAsia="Times New Roman" w:hAnsi="Times New Roman" w:cs="Times New Roman"/>
      <w:color w:val="auto"/>
      <w:lang w:val="en-US"/>
    </w:rPr>
  </w:style>
  <w:style w:type="paragraph" w:styleId="NormalWeb">
    <w:name w:val="Normal (Web)"/>
    <w:basedOn w:val="Normal"/>
    <w:uiPriority w:val="99"/>
    <w:unhideWhenUsed/>
    <w:rsid w:val="00BF534B"/>
    <w:pPr>
      <w:tabs>
        <w:tab w:val="clear" w:pos="567"/>
        <w:tab w:val="clear" w:pos="1134"/>
        <w:tab w:val="clear" w:pos="1701"/>
        <w:tab w:val="clear" w:pos="2268"/>
        <w:tab w:val="clear" w:pos="2835"/>
      </w:tabs>
      <w:spacing w:before="100" w:beforeAutospacing="1" w:after="100" w:afterAutospacing="1"/>
    </w:pPr>
    <w:rPr>
      <w:rFonts w:ascii="Times New Roman" w:eastAsia="Times New Roman" w:hAnsi="Times New Roman" w:cs="Times New Roman"/>
      <w:color w:val="auto"/>
      <w:lang w:val="en-US"/>
    </w:rPr>
  </w:style>
  <w:style w:type="paragraph" w:styleId="FootnoteText">
    <w:name w:val="footnote text"/>
    <w:basedOn w:val="Normal"/>
    <w:link w:val="FootnoteTextChar"/>
    <w:uiPriority w:val="99"/>
    <w:semiHidden/>
    <w:unhideWhenUsed/>
    <w:rsid w:val="003914BE"/>
    <w:pPr>
      <w:spacing w:before="0"/>
    </w:pPr>
    <w:rPr>
      <w:sz w:val="20"/>
      <w:szCs w:val="20"/>
    </w:rPr>
  </w:style>
  <w:style w:type="character" w:customStyle="1" w:styleId="FootnoteTextChar">
    <w:name w:val="Footnote Text Char"/>
    <w:basedOn w:val="DefaultParagraphFont"/>
    <w:link w:val="FootnoteText"/>
    <w:uiPriority w:val="99"/>
    <w:semiHidden/>
    <w:rsid w:val="003914BE"/>
    <w:rPr>
      <w:sz w:val="20"/>
      <w:szCs w:val="20"/>
    </w:rPr>
  </w:style>
  <w:style w:type="character" w:styleId="FootnoteReference">
    <w:name w:val="footnote reference"/>
    <w:basedOn w:val="DefaultParagraphFont"/>
    <w:semiHidden/>
    <w:unhideWhenUsed/>
    <w:rsid w:val="003914B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805847">
      <w:bodyDiv w:val="1"/>
      <w:marLeft w:val="0"/>
      <w:marRight w:val="0"/>
      <w:marTop w:val="0"/>
      <w:marBottom w:val="0"/>
      <w:divBdr>
        <w:top w:val="none" w:sz="0" w:space="0" w:color="auto"/>
        <w:left w:val="none" w:sz="0" w:space="0" w:color="auto"/>
        <w:bottom w:val="none" w:sz="0" w:space="0" w:color="auto"/>
        <w:right w:val="none" w:sz="0" w:space="0" w:color="auto"/>
      </w:divBdr>
      <w:divsChild>
        <w:div w:id="1254163119">
          <w:marLeft w:val="0"/>
          <w:marRight w:val="0"/>
          <w:marTop w:val="0"/>
          <w:marBottom w:val="0"/>
          <w:divBdr>
            <w:top w:val="none" w:sz="0" w:space="0" w:color="auto"/>
            <w:left w:val="none" w:sz="0" w:space="0" w:color="auto"/>
            <w:bottom w:val="none" w:sz="0" w:space="0" w:color="auto"/>
            <w:right w:val="none" w:sz="0" w:space="0" w:color="auto"/>
          </w:divBdr>
          <w:divsChild>
            <w:div w:id="1207990089">
              <w:marLeft w:val="0"/>
              <w:marRight w:val="0"/>
              <w:marTop w:val="0"/>
              <w:marBottom w:val="0"/>
              <w:divBdr>
                <w:top w:val="none" w:sz="0" w:space="0" w:color="auto"/>
                <w:left w:val="none" w:sz="0" w:space="0" w:color="auto"/>
                <w:bottom w:val="none" w:sz="0" w:space="0" w:color="auto"/>
                <w:right w:val="none" w:sz="0" w:space="0" w:color="auto"/>
              </w:divBdr>
              <w:divsChild>
                <w:div w:id="40645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407020">
      <w:bodyDiv w:val="1"/>
      <w:marLeft w:val="0"/>
      <w:marRight w:val="0"/>
      <w:marTop w:val="0"/>
      <w:marBottom w:val="0"/>
      <w:divBdr>
        <w:top w:val="none" w:sz="0" w:space="0" w:color="auto"/>
        <w:left w:val="none" w:sz="0" w:space="0" w:color="auto"/>
        <w:bottom w:val="none" w:sz="0" w:space="0" w:color="auto"/>
        <w:right w:val="none" w:sz="0" w:space="0" w:color="auto"/>
      </w:divBdr>
    </w:div>
    <w:div w:id="773942260">
      <w:bodyDiv w:val="1"/>
      <w:marLeft w:val="0"/>
      <w:marRight w:val="0"/>
      <w:marTop w:val="0"/>
      <w:marBottom w:val="0"/>
      <w:divBdr>
        <w:top w:val="none" w:sz="0" w:space="0" w:color="auto"/>
        <w:left w:val="none" w:sz="0" w:space="0" w:color="auto"/>
        <w:bottom w:val="none" w:sz="0" w:space="0" w:color="auto"/>
        <w:right w:val="none" w:sz="0" w:space="0" w:color="auto"/>
      </w:divBdr>
    </w:div>
    <w:div w:id="1220173210">
      <w:bodyDiv w:val="1"/>
      <w:marLeft w:val="0"/>
      <w:marRight w:val="0"/>
      <w:marTop w:val="0"/>
      <w:marBottom w:val="0"/>
      <w:divBdr>
        <w:top w:val="none" w:sz="0" w:space="0" w:color="auto"/>
        <w:left w:val="none" w:sz="0" w:space="0" w:color="auto"/>
        <w:bottom w:val="none" w:sz="0" w:space="0" w:color="auto"/>
        <w:right w:val="none" w:sz="0" w:space="0" w:color="auto"/>
      </w:divBdr>
    </w:div>
    <w:div w:id="1305309193">
      <w:bodyDiv w:val="1"/>
      <w:marLeft w:val="0"/>
      <w:marRight w:val="0"/>
      <w:marTop w:val="0"/>
      <w:marBottom w:val="0"/>
      <w:divBdr>
        <w:top w:val="none" w:sz="0" w:space="0" w:color="auto"/>
        <w:left w:val="none" w:sz="0" w:space="0" w:color="auto"/>
        <w:bottom w:val="none" w:sz="0" w:space="0" w:color="auto"/>
        <w:right w:val="none" w:sz="0" w:space="0" w:color="auto"/>
      </w:divBdr>
    </w:div>
    <w:div w:id="1469055297">
      <w:bodyDiv w:val="1"/>
      <w:marLeft w:val="0"/>
      <w:marRight w:val="0"/>
      <w:marTop w:val="0"/>
      <w:marBottom w:val="0"/>
      <w:divBdr>
        <w:top w:val="none" w:sz="0" w:space="0" w:color="auto"/>
        <w:left w:val="none" w:sz="0" w:space="0" w:color="auto"/>
        <w:bottom w:val="none" w:sz="0" w:space="0" w:color="auto"/>
        <w:right w:val="none" w:sz="0" w:space="0" w:color="auto"/>
      </w:divBdr>
    </w:div>
    <w:div w:id="1511526684">
      <w:bodyDiv w:val="1"/>
      <w:marLeft w:val="0"/>
      <w:marRight w:val="0"/>
      <w:marTop w:val="0"/>
      <w:marBottom w:val="0"/>
      <w:divBdr>
        <w:top w:val="none" w:sz="0" w:space="0" w:color="auto"/>
        <w:left w:val="none" w:sz="0" w:space="0" w:color="auto"/>
        <w:bottom w:val="none" w:sz="0" w:space="0" w:color="auto"/>
        <w:right w:val="none" w:sz="0" w:space="0" w:color="auto"/>
      </w:divBdr>
    </w:div>
    <w:div w:id="1798521817">
      <w:bodyDiv w:val="1"/>
      <w:marLeft w:val="0"/>
      <w:marRight w:val="0"/>
      <w:marTop w:val="0"/>
      <w:marBottom w:val="0"/>
      <w:divBdr>
        <w:top w:val="none" w:sz="0" w:space="0" w:color="auto"/>
        <w:left w:val="none" w:sz="0" w:space="0" w:color="auto"/>
        <w:bottom w:val="none" w:sz="0" w:space="0" w:color="auto"/>
        <w:right w:val="none" w:sz="0" w:space="0" w:color="auto"/>
      </w:divBdr>
    </w:div>
    <w:div w:id="2097553541">
      <w:bodyDiv w:val="1"/>
      <w:marLeft w:val="0"/>
      <w:marRight w:val="0"/>
      <w:marTop w:val="0"/>
      <w:marBottom w:val="0"/>
      <w:divBdr>
        <w:top w:val="none" w:sz="0" w:space="0" w:color="auto"/>
        <w:left w:val="none" w:sz="0" w:space="0" w:color="auto"/>
        <w:bottom w:val="none" w:sz="0" w:space="0" w:color="auto"/>
        <w:right w:val="none" w:sz="0" w:space="0" w:color="auto"/>
      </w:divBdr>
      <w:divsChild>
        <w:div w:id="1118524008">
          <w:marLeft w:val="0"/>
          <w:marRight w:val="0"/>
          <w:marTop w:val="0"/>
          <w:marBottom w:val="0"/>
          <w:divBdr>
            <w:top w:val="none" w:sz="0" w:space="0" w:color="auto"/>
            <w:left w:val="none" w:sz="0" w:space="0" w:color="auto"/>
            <w:bottom w:val="none" w:sz="0" w:space="0" w:color="auto"/>
            <w:right w:val="none" w:sz="0" w:space="0" w:color="auto"/>
          </w:divBdr>
          <w:divsChild>
            <w:div w:id="1140994473">
              <w:marLeft w:val="0"/>
              <w:marRight w:val="0"/>
              <w:marTop w:val="0"/>
              <w:marBottom w:val="0"/>
              <w:divBdr>
                <w:top w:val="none" w:sz="0" w:space="0" w:color="auto"/>
                <w:left w:val="none" w:sz="0" w:space="0" w:color="auto"/>
                <w:bottom w:val="none" w:sz="0" w:space="0" w:color="auto"/>
                <w:right w:val="none" w:sz="0" w:space="0" w:color="auto"/>
              </w:divBdr>
              <w:divsChild>
                <w:div w:id="373849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gsma.com/publicpolicy/capacitybuilding" TargetMode="External"/><Relationship Id="rId18" Type="http://schemas.openxmlformats.org/officeDocument/2006/relationships/header" Target="head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hyperlink" Target="http://www.oecd.org/publications/digital-security-risk-management-for-economic-and-social-prosperity-9789264245471-en.htm" TargetMode="External"/><Relationship Id="rId2" Type="http://schemas.openxmlformats.org/officeDocument/2006/relationships/customXml" Target="../customXml/item2.xml"/><Relationship Id="rId16" Type="http://schemas.openxmlformats.org/officeDocument/2006/relationships/hyperlink" Target="http://ustti.or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https://www.netacad.com"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oecd.org/publications/broadband-policies-for-latin-america-and-the-caribbean-9789264251823-en.htm"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nist.gov/cyberframew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C4D2B6-0552-4F2B-B92E-A43DE734D692}">
  <ds:schemaRefs>
    <ds:schemaRef ds:uri="http://www.w3.org/XML/1998/namespace"/>
    <ds:schemaRef ds:uri="http://purl.org/dc/terms/"/>
    <ds:schemaRef ds:uri="http://schemas.openxmlformats.org/package/2006/metadata/core-properties"/>
    <ds:schemaRef ds:uri="http://schemas.microsoft.com/office/2006/metadata/properties"/>
    <ds:schemaRef ds:uri="http://purl.org/dc/elements/1.1/"/>
    <ds:schemaRef ds:uri="http://schemas.microsoft.com/office/infopath/2007/PartnerControls"/>
    <ds:schemaRef ds:uri="http://schemas.microsoft.com/office/2006/documentManagement/types"/>
    <ds:schemaRef ds:uri="http://purl.org/dc/dcmitype/"/>
  </ds:schemaRefs>
</ds:datastoreItem>
</file>

<file path=customXml/itemProps2.xml><?xml version="1.0" encoding="utf-8"?>
<ds:datastoreItem xmlns:ds="http://schemas.openxmlformats.org/officeDocument/2006/customXml" ds:itemID="{DDCC0F1A-F3C3-44DF-8591-5628EA784AF4}">
  <ds:schemaRefs>
    <ds:schemaRef ds:uri="http://schemas.microsoft.com/sharepoint/v3/contenttype/forms"/>
  </ds:schemaRefs>
</ds:datastoreItem>
</file>

<file path=customXml/itemProps3.xml><?xml version="1.0" encoding="utf-8"?>
<ds:datastoreItem xmlns:ds="http://schemas.openxmlformats.org/officeDocument/2006/customXml" ds:itemID="{3C03096A-060B-404F-940A-EE1E5A3292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7A3CACFE-40D8-43EF-92E5-3A671D364C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5</Pages>
  <Words>1721</Words>
  <Characters>9813</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U S Department of State</Company>
  <LinksUpToDate>false</LinksUpToDate>
  <CharactersWithSpaces>11511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Ritchie, Susan M</dc:creator>
  <cp:lastModifiedBy>KleinMN</cp:lastModifiedBy>
  <cp:revision>4</cp:revision>
  <dcterms:created xsi:type="dcterms:W3CDTF">2016-09-22T21:06:00Z</dcterms:created>
  <dcterms:modified xsi:type="dcterms:W3CDTF">2016-09-22T21:50:00Z</dcterms:modified>
</cp:coreProperties>
</file>